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7F3CA34F" w14:textId="59C49CB1" w:rsidR="00692375" w:rsidRDefault="00DE48DE" w:rsidP="00D21527">
      <w:pPr>
        <w:pStyle w:val="papertitle"/>
        <w:spacing w:before="160" w:after="320"/>
      </w:pPr>
      <w:r>
        <w:rPr>
          <w:noProof/>
        </w:rPr>
        <w:drawing>
          <wp:inline distT="0" distB="0" distL="0" distR="0" wp14:anchorId="66BC2251" wp14:editId="2CB5913B">
            <wp:extent cx="6193836" cy="12795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6193836" cy="1279525"/>
                    </a:xfrm>
                    <a:prstGeom prst="rect">
                      <a:avLst/>
                    </a:prstGeom>
                  </pic:spPr>
                </pic:pic>
              </a:graphicData>
            </a:graphic>
          </wp:inline>
        </w:drawing>
      </w:r>
      <w:r w:rsidR="00FE439F">
        <w:t>Paper Title (</w:t>
      </w:r>
      <w:r w:rsidR="00D21527">
        <w:t xml:space="preserve">24pt, Times New Roman, </w:t>
      </w:r>
      <w:r w:rsidR="00FE439F">
        <w:t>upper</w:t>
      </w:r>
      <w:r w:rsidR="00D21527">
        <w:t xml:space="preserve"> case, line spacing: Before: 8pt, </w:t>
      </w:r>
      <w:r w:rsidR="001F0D66">
        <w:t>after</w:t>
      </w:r>
      <w:r w:rsidR="00D21527">
        <w:t>: 16pt</w:t>
      </w:r>
      <w:r w:rsidR="007D522D">
        <w:t>)</w:t>
      </w:r>
    </w:p>
    <w:p w14:paraId="54521518" w14:textId="77777777" w:rsidR="00692375" w:rsidRPr="00D21527" w:rsidRDefault="007D522D" w:rsidP="00D21527">
      <w:pPr>
        <w:pStyle w:val="papersubtitle"/>
        <w:spacing w:after="320"/>
        <w:rPr>
          <w:i/>
        </w:rPr>
      </w:pPr>
      <w:r w:rsidRPr="00D21527">
        <w:rPr>
          <w:i/>
        </w:rPr>
        <w:t>Subtitle</w:t>
      </w:r>
      <w:r w:rsidR="00FE439F">
        <w:rPr>
          <w:i/>
        </w:rPr>
        <w:t xml:space="preserve"> if needed</w:t>
      </w:r>
      <w:r w:rsidR="00FE439F" w:rsidRPr="00D21527">
        <w:rPr>
          <w:i/>
        </w:rPr>
        <w:t xml:space="preserve"> (</w:t>
      </w:r>
      <w:r w:rsidR="00D21527">
        <w:rPr>
          <w:i/>
          <w:iCs/>
        </w:rPr>
        <w:t xml:space="preserve">14pt, </w:t>
      </w:r>
      <w:proofErr w:type="spellStart"/>
      <w:proofErr w:type="gramStart"/>
      <w:r w:rsidR="00D21527">
        <w:rPr>
          <w:i/>
          <w:iCs/>
        </w:rPr>
        <w:t>Italic,</w:t>
      </w:r>
      <w:r w:rsidR="00D21527" w:rsidRPr="00D21527">
        <w:rPr>
          <w:i/>
          <w:iCs/>
        </w:rPr>
        <w:t>line</w:t>
      </w:r>
      <w:proofErr w:type="spellEnd"/>
      <w:proofErr w:type="gramEnd"/>
      <w:r w:rsidR="00D21527" w:rsidRPr="00D21527">
        <w:rPr>
          <w:i/>
          <w:iCs/>
        </w:rPr>
        <w:t xml:space="preserve"> spacing: </w:t>
      </w:r>
      <w:r w:rsidR="00872542">
        <w:rPr>
          <w:i/>
          <w:iCs/>
        </w:rPr>
        <w:t>B</w:t>
      </w:r>
      <w:r w:rsidR="00D21527" w:rsidRPr="00D21527">
        <w:rPr>
          <w:i/>
          <w:iCs/>
        </w:rPr>
        <w:t xml:space="preserve">efore:8pt, </w:t>
      </w:r>
      <w:r w:rsidR="001F0D66" w:rsidRPr="00D21527">
        <w:rPr>
          <w:i/>
          <w:iCs/>
        </w:rPr>
        <w:t>after</w:t>
      </w:r>
      <w:r w:rsidR="00D21527" w:rsidRPr="00D21527">
        <w:rPr>
          <w:i/>
          <w:iCs/>
        </w:rPr>
        <w:t>:16pt</w:t>
      </w:r>
      <w:r w:rsidRPr="00D21527">
        <w:rPr>
          <w:i/>
        </w:rPr>
        <w:t>)</w:t>
      </w:r>
    </w:p>
    <w:p w14:paraId="6C001C3F" w14:textId="77777777" w:rsidR="00692375" w:rsidRDefault="00D26A36" w:rsidP="00D21527">
      <w:pPr>
        <w:pStyle w:val="Author"/>
        <w:spacing w:before="160" w:after="80"/>
        <w:rPr>
          <w:rFonts w:eastAsia="Times New Roman"/>
        </w:rPr>
      </w:pPr>
      <w:r w:rsidRPr="00D26A36">
        <w:rPr>
          <w:vertAlign w:val="superscript"/>
        </w:rPr>
        <w:t>1</w:t>
      </w:r>
      <w:r w:rsidR="007D522D">
        <w:t>Name</w:t>
      </w:r>
      <w:r w:rsidR="003659F6">
        <w:t xml:space="preserve"> of 1</w:t>
      </w:r>
      <w:r w:rsidR="003659F6" w:rsidRPr="003659F6">
        <w:rPr>
          <w:vertAlign w:val="superscript"/>
        </w:rPr>
        <w:t>st</w:t>
      </w:r>
      <w:r w:rsidR="003659F6">
        <w:t xml:space="preserve"> Author</w:t>
      </w:r>
      <w:r>
        <w:t>,</w:t>
      </w:r>
      <w:r w:rsidR="001611D6">
        <w:t xml:space="preserve"> </w:t>
      </w:r>
      <w:r w:rsidRPr="00D26A36">
        <w:rPr>
          <w:vertAlign w:val="superscript"/>
        </w:rPr>
        <w:t>2</w:t>
      </w:r>
      <w:r>
        <w:t>Name</w:t>
      </w:r>
      <w:r w:rsidR="003659F6">
        <w:t xml:space="preserve"> of 2</w:t>
      </w:r>
      <w:r w:rsidR="003659F6" w:rsidRPr="003659F6">
        <w:rPr>
          <w:vertAlign w:val="superscript"/>
        </w:rPr>
        <w:t>nd</w:t>
      </w:r>
      <w:r w:rsidR="003659F6">
        <w:t xml:space="preserve"> Author</w:t>
      </w:r>
      <w:r>
        <w:t>,</w:t>
      </w:r>
      <w:r w:rsidR="001611D6">
        <w:t xml:space="preserve"> </w:t>
      </w:r>
      <w:r w:rsidRPr="00D26A36">
        <w:rPr>
          <w:vertAlign w:val="superscript"/>
        </w:rPr>
        <w:t>3</w:t>
      </w:r>
      <w:r>
        <w:t xml:space="preserve">Name </w:t>
      </w:r>
      <w:r w:rsidR="003659F6">
        <w:t>of 3</w:t>
      </w:r>
      <w:r w:rsidR="003659F6" w:rsidRPr="003659F6">
        <w:rPr>
          <w:vertAlign w:val="superscript"/>
        </w:rPr>
        <w:t>rd</w:t>
      </w:r>
      <w:r w:rsidR="003659F6">
        <w:t xml:space="preserve"> Author</w:t>
      </w:r>
    </w:p>
    <w:p w14:paraId="5B48979E" w14:textId="77777777" w:rsidR="003659F6" w:rsidRDefault="003659F6">
      <w:pPr>
        <w:pStyle w:val="Affiliation"/>
        <w:rPr>
          <w:rFonts w:eastAsia="Times New Roman"/>
        </w:rPr>
      </w:pPr>
      <w:r w:rsidRPr="003659F6">
        <w:rPr>
          <w:rFonts w:eastAsia="Times New Roman"/>
          <w:vertAlign w:val="superscript"/>
        </w:rPr>
        <w:t>1</w:t>
      </w:r>
      <w:r>
        <w:rPr>
          <w:rFonts w:eastAsia="Times New Roman"/>
        </w:rPr>
        <w:t>Designation of 1</w:t>
      </w:r>
      <w:r w:rsidRPr="003659F6">
        <w:rPr>
          <w:rFonts w:eastAsia="Times New Roman"/>
          <w:vertAlign w:val="superscript"/>
        </w:rPr>
        <w:t>st</w:t>
      </w:r>
      <w:r>
        <w:rPr>
          <w:rFonts w:eastAsia="Times New Roman"/>
        </w:rPr>
        <w:t xml:space="preserve"> Author,</w:t>
      </w:r>
      <w:r w:rsidR="001611D6">
        <w:rPr>
          <w:rFonts w:eastAsia="Times New Roman"/>
        </w:rPr>
        <w:t xml:space="preserve"> </w:t>
      </w:r>
      <w:r w:rsidRPr="003659F6">
        <w:rPr>
          <w:rFonts w:eastAsia="Times New Roman"/>
          <w:vertAlign w:val="superscript"/>
        </w:rPr>
        <w:t>2</w:t>
      </w:r>
      <w:r>
        <w:rPr>
          <w:rFonts w:eastAsia="Times New Roman"/>
        </w:rPr>
        <w:t>Designation of 2</w:t>
      </w:r>
      <w:r w:rsidRPr="003659F6">
        <w:rPr>
          <w:rFonts w:eastAsia="Times New Roman"/>
          <w:vertAlign w:val="superscript"/>
        </w:rPr>
        <w:t>nd</w:t>
      </w:r>
      <w:r>
        <w:rPr>
          <w:rFonts w:eastAsia="Times New Roman"/>
        </w:rPr>
        <w:t xml:space="preserve"> Author,</w:t>
      </w:r>
      <w:r w:rsidR="001611D6">
        <w:rPr>
          <w:rFonts w:eastAsia="Times New Roman"/>
        </w:rPr>
        <w:t xml:space="preserve"> </w:t>
      </w:r>
      <w:r w:rsidRPr="003659F6">
        <w:rPr>
          <w:rFonts w:eastAsia="Times New Roman"/>
          <w:vertAlign w:val="superscript"/>
        </w:rPr>
        <w:t>3</w:t>
      </w:r>
      <w:r>
        <w:rPr>
          <w:rFonts w:eastAsia="Times New Roman"/>
        </w:rPr>
        <w:t>Designation of 3</w:t>
      </w:r>
      <w:r w:rsidRPr="003659F6">
        <w:rPr>
          <w:rFonts w:eastAsia="Times New Roman"/>
          <w:vertAlign w:val="superscript"/>
        </w:rPr>
        <w:t>rd</w:t>
      </w:r>
      <w:r>
        <w:rPr>
          <w:rFonts w:eastAsia="Times New Roman"/>
        </w:rPr>
        <w:t xml:space="preserve"> Author</w:t>
      </w:r>
    </w:p>
    <w:p w14:paraId="0AED769F" w14:textId="77777777" w:rsidR="007079C8" w:rsidRDefault="00F4168E" w:rsidP="00F4168E">
      <w:pPr>
        <w:pStyle w:val="Affiliation"/>
        <w:rPr>
          <w:rFonts w:eastAsia="Times New Roman"/>
        </w:rPr>
      </w:pPr>
      <w:r w:rsidRPr="00F4168E">
        <w:rPr>
          <w:rFonts w:eastAsia="Times New Roman"/>
          <w:vertAlign w:val="superscript"/>
        </w:rPr>
        <w:t>1</w:t>
      </w:r>
      <w:r>
        <w:rPr>
          <w:rFonts w:eastAsia="Times New Roman"/>
        </w:rPr>
        <w:t>Name of Department of 1</w:t>
      </w:r>
      <w:r w:rsidRPr="00F4168E">
        <w:rPr>
          <w:rFonts w:eastAsia="Times New Roman"/>
          <w:vertAlign w:val="superscript"/>
        </w:rPr>
        <w:t>st</w:t>
      </w:r>
      <w:r>
        <w:rPr>
          <w:rFonts w:eastAsia="Times New Roman"/>
        </w:rPr>
        <w:t xml:space="preserve"> Author, </w:t>
      </w:r>
    </w:p>
    <w:p w14:paraId="52EC6CA8" w14:textId="77777777" w:rsidR="00692375" w:rsidRDefault="00F4168E" w:rsidP="00F4168E">
      <w:pPr>
        <w:pStyle w:val="Affiliation"/>
      </w:pPr>
      <w:r w:rsidRPr="00F4168E">
        <w:rPr>
          <w:rFonts w:eastAsia="Times New Roman"/>
          <w:vertAlign w:val="superscript"/>
        </w:rPr>
        <w:t>1</w:t>
      </w:r>
      <w:r w:rsidR="007D522D">
        <w:rPr>
          <w:rFonts w:eastAsia="Times New Roman"/>
        </w:rPr>
        <w:t>N</w:t>
      </w:r>
      <w:r w:rsidR="007D522D">
        <w:t>ame</w:t>
      </w:r>
      <w:r w:rsidR="001611D6">
        <w:t xml:space="preserve"> </w:t>
      </w:r>
      <w:r w:rsidR="007D522D">
        <w:t>of</w:t>
      </w:r>
      <w:r w:rsidR="001611D6">
        <w:t xml:space="preserve"> </w:t>
      </w:r>
      <w:r w:rsidR="007D522D">
        <w:t>organization</w:t>
      </w:r>
      <w:r>
        <w:t xml:space="preserve"> of 1</w:t>
      </w:r>
      <w:r w:rsidRPr="00F4168E">
        <w:rPr>
          <w:vertAlign w:val="superscript"/>
        </w:rPr>
        <w:t>st</w:t>
      </w:r>
      <w:r>
        <w:t xml:space="preserve"> Author, </w:t>
      </w:r>
      <w:r w:rsidR="007D522D">
        <w:t>City,</w:t>
      </w:r>
      <w:r w:rsidR="001611D6">
        <w:t xml:space="preserve"> </w:t>
      </w:r>
      <w:r>
        <w:t>Country</w:t>
      </w:r>
    </w:p>
    <w:p w14:paraId="53113A07" w14:textId="11FDA46F" w:rsidR="00692375" w:rsidRPr="007079C8" w:rsidRDefault="00692375" w:rsidP="007079C8">
      <w:pPr>
        <w:jc w:val="both"/>
        <w:rPr>
          <w:sz w:val="18"/>
        </w:rPr>
      </w:pPr>
    </w:p>
    <w:p w14:paraId="56EC05F1" w14:textId="77777777" w:rsidR="007079C8" w:rsidRDefault="007079C8" w:rsidP="007079C8">
      <w:pPr>
        <w:pStyle w:val="Abstract"/>
        <w:spacing w:after="0"/>
        <w:ind w:firstLine="0"/>
        <w:rPr>
          <w:i/>
          <w:iCs/>
          <w:sz w:val="20"/>
          <w:szCs w:val="20"/>
        </w:rPr>
      </w:pPr>
    </w:p>
    <w:p w14:paraId="37ACE1DE" w14:textId="77777777" w:rsidR="00692375" w:rsidRPr="007079C8" w:rsidRDefault="007D522D" w:rsidP="007079C8">
      <w:pPr>
        <w:pStyle w:val="Abstract"/>
        <w:spacing w:after="0"/>
        <w:ind w:firstLine="0"/>
        <w:rPr>
          <w:i/>
          <w:sz w:val="20"/>
          <w:szCs w:val="20"/>
        </w:rPr>
      </w:pPr>
      <w:proofErr w:type="gramStart"/>
      <w:r w:rsidRPr="007079C8">
        <w:rPr>
          <w:i/>
          <w:iCs/>
          <w:sz w:val="20"/>
          <w:szCs w:val="20"/>
        </w:rPr>
        <w:t>Abstract</w:t>
      </w:r>
      <w:r w:rsidR="001611D6">
        <w:rPr>
          <w:i/>
          <w:iCs/>
          <w:sz w:val="20"/>
          <w:szCs w:val="20"/>
        </w:rPr>
        <w:t xml:space="preserve"> :</w:t>
      </w:r>
      <w:proofErr w:type="gramEnd"/>
      <w:r w:rsidR="001611D6">
        <w:rPr>
          <w:i/>
          <w:iCs/>
          <w:sz w:val="20"/>
          <w:szCs w:val="20"/>
        </w:rPr>
        <w:t xml:space="preserve"> </w:t>
      </w:r>
      <w:r w:rsidR="001611D6" w:rsidRPr="001611D6">
        <w:rPr>
          <w:rFonts w:eastAsia="Calibri"/>
          <w:b w:val="0"/>
          <w:sz w:val="20"/>
          <w:szCs w:val="20"/>
          <w:lang w:eastAsia="en-US"/>
        </w:rPr>
        <w:t xml:space="preserve"> T</w:t>
      </w:r>
      <w:r w:rsidR="001611D6" w:rsidRPr="001611D6">
        <w:rPr>
          <w:rFonts w:eastAsia="Calibri"/>
          <w:b w:val="0"/>
          <w:bCs w:val="0"/>
          <w:sz w:val="20"/>
          <w:szCs w:val="20"/>
          <w:lang w:eastAsia="en-US"/>
        </w:rPr>
        <w:t>his study has been undertaken to investigate the</w:t>
      </w:r>
      <w:r w:rsidR="001611D6" w:rsidRPr="001611D6">
        <w:rPr>
          <w:rFonts w:eastAsia="Calibri"/>
          <w:b w:val="0"/>
          <w:sz w:val="20"/>
          <w:szCs w:val="20"/>
          <w:lang w:eastAsia="en-US"/>
        </w:rPr>
        <w:t xml:space="preserve"> determinants of stock returns in Karachi Stock Exchange (KSE) using two assets pricing models the classical Capital Asset Pricing Model and Arbitrage Pricing Theory model. To test the CAPM market return is used and macroeconomic variables are used to test the APT.</w:t>
      </w:r>
      <w:r w:rsidR="001611D6" w:rsidRPr="001611D6">
        <w:rPr>
          <w:rFonts w:eastAsia="Calibri"/>
          <w:b w:val="0"/>
          <w:bCs w:val="0"/>
          <w:sz w:val="20"/>
          <w:szCs w:val="20"/>
          <w:lang w:eastAsia="en-US"/>
        </w:rPr>
        <w:t xml:space="preserve"> The macroeconomic variables include inflation, oil prices, interest rate and exchange rate. For the very purpose monthly time series data has been arranged from Jan 2010 to Dec 2014. The analytical framework contains</w:t>
      </w:r>
      <w:r w:rsidRPr="007079C8">
        <w:rPr>
          <w:sz w:val="20"/>
          <w:szCs w:val="20"/>
        </w:rPr>
        <w:t>.</w:t>
      </w:r>
    </w:p>
    <w:p w14:paraId="7E61CA07" w14:textId="77777777" w:rsidR="007079C8" w:rsidRDefault="007079C8" w:rsidP="007079C8">
      <w:pPr>
        <w:pStyle w:val="keywords"/>
        <w:spacing w:after="0"/>
        <w:ind w:firstLine="0"/>
        <w:rPr>
          <w:i/>
          <w:sz w:val="20"/>
          <w:szCs w:val="20"/>
        </w:rPr>
      </w:pPr>
    </w:p>
    <w:p w14:paraId="08905A38" w14:textId="77777777" w:rsidR="00692375" w:rsidRDefault="007D522D" w:rsidP="007079C8">
      <w:pPr>
        <w:pStyle w:val="keywords"/>
        <w:spacing w:after="0"/>
        <w:ind w:firstLine="0"/>
        <w:rPr>
          <w:b w:val="0"/>
          <w:bCs w:val="0"/>
          <w:i/>
          <w:sz w:val="20"/>
          <w:szCs w:val="20"/>
        </w:rPr>
      </w:pPr>
      <w:proofErr w:type="spellStart"/>
      <w:r w:rsidRPr="007079C8">
        <w:rPr>
          <w:i/>
          <w:sz w:val="20"/>
          <w:szCs w:val="20"/>
        </w:rPr>
        <w:t>IndexTerms</w:t>
      </w:r>
      <w:proofErr w:type="spellEnd"/>
      <w:r w:rsidR="00092B52">
        <w:rPr>
          <w:rFonts w:eastAsia="Times New Roman"/>
          <w:sz w:val="20"/>
          <w:szCs w:val="20"/>
        </w:rPr>
        <w:t xml:space="preserve"> - </w:t>
      </w:r>
      <w:proofErr w:type="spellStart"/>
      <w:proofErr w:type="gramStart"/>
      <w:r w:rsidRPr="007079C8">
        <w:rPr>
          <w:rFonts w:eastAsia="Times New Roman"/>
          <w:sz w:val="20"/>
          <w:szCs w:val="20"/>
        </w:rPr>
        <w:t>C</w:t>
      </w:r>
      <w:r w:rsidRPr="007079C8">
        <w:rPr>
          <w:sz w:val="20"/>
          <w:szCs w:val="20"/>
        </w:rPr>
        <w:t>omponent,formatting</w:t>
      </w:r>
      <w:proofErr w:type="gramEnd"/>
      <w:r w:rsidRPr="007079C8">
        <w:rPr>
          <w:sz w:val="20"/>
          <w:szCs w:val="20"/>
        </w:rPr>
        <w:t>,</w:t>
      </w:r>
      <w:proofErr w:type="gramStart"/>
      <w:r w:rsidRPr="007079C8">
        <w:rPr>
          <w:sz w:val="20"/>
          <w:szCs w:val="20"/>
        </w:rPr>
        <w:t>style,styling</w:t>
      </w:r>
      <w:proofErr w:type="gramEnd"/>
      <w:r w:rsidRPr="007079C8">
        <w:rPr>
          <w:sz w:val="20"/>
          <w:szCs w:val="20"/>
        </w:rPr>
        <w:t>,insert</w:t>
      </w:r>
      <w:proofErr w:type="spellEnd"/>
      <w:r w:rsidRPr="007079C8">
        <w:rPr>
          <w:sz w:val="20"/>
          <w:szCs w:val="20"/>
        </w:rPr>
        <w:t>.</w:t>
      </w:r>
    </w:p>
    <w:p w14:paraId="24E1CA92" w14:textId="77777777" w:rsidR="007079C8" w:rsidRPr="007079C8" w:rsidRDefault="007079C8" w:rsidP="007079C8">
      <w:pPr>
        <w:pStyle w:val="keywords"/>
        <w:spacing w:after="0"/>
        <w:ind w:firstLine="0"/>
        <w:rPr>
          <w:sz w:val="20"/>
          <w:szCs w:val="20"/>
        </w:rPr>
      </w:pPr>
      <w:r>
        <w:rPr>
          <w:b w:val="0"/>
          <w:bCs w:val="0"/>
          <w:i/>
          <w:sz w:val="20"/>
          <w:szCs w:val="20"/>
        </w:rPr>
        <w:t>________________________________________________________________________________________________________</w:t>
      </w:r>
    </w:p>
    <w:p w14:paraId="05250DAC" w14:textId="77777777" w:rsidR="00692375" w:rsidRDefault="00092B52" w:rsidP="00782518">
      <w:pPr>
        <w:pStyle w:val="Heading1"/>
        <w:numPr>
          <w:ilvl w:val="0"/>
          <w:numId w:val="1"/>
        </w:numPr>
        <w:jc w:val="left"/>
        <w:rPr>
          <w:b/>
        </w:rPr>
      </w:pPr>
      <w:r>
        <w:rPr>
          <w:b/>
        </w:rPr>
        <w:t>Introduction</w:t>
      </w:r>
    </w:p>
    <w:p w14:paraId="2A65FAFC"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Page size: </w:t>
      </w:r>
      <w:r w:rsidRPr="00A9368B">
        <w:rPr>
          <w:rFonts w:ascii="Arial" w:eastAsia="Times New Roman" w:hAnsi="Arial" w:cs="Arial"/>
          <w:color w:val="222222"/>
          <w:lang w:val="en-IN" w:eastAsia="en-US"/>
        </w:rPr>
        <w:t>A4 size only</w:t>
      </w:r>
    </w:p>
    <w:p w14:paraId="255A613A" w14:textId="77777777" w:rsidR="00A9368B" w:rsidRDefault="00A9368B" w:rsidP="001868E6">
      <w:pPr>
        <w:suppressAutoHyphens w:val="0"/>
        <w:jc w:val="left"/>
        <w:rPr>
          <w:rFonts w:ascii="Arial" w:eastAsia="Times New Roman" w:hAnsi="Arial" w:cs="Arial"/>
          <w:color w:val="222222"/>
          <w:lang w:val="en-IN" w:eastAsia="en-US"/>
        </w:rPr>
      </w:pPr>
      <w:r w:rsidRPr="00A9368B">
        <w:rPr>
          <w:rFonts w:ascii="Arial" w:eastAsia="Times New Roman" w:hAnsi="Arial" w:cs="Arial"/>
          <w:b/>
          <w:bCs/>
          <w:color w:val="222222"/>
          <w:lang w:val="en-IN" w:eastAsia="en-US"/>
        </w:rPr>
        <w:t>Text Column</w:t>
      </w:r>
      <w:r w:rsidRPr="00A9368B">
        <w:rPr>
          <w:rFonts w:ascii="Arial" w:eastAsia="Times New Roman" w:hAnsi="Arial" w:cs="Arial"/>
          <w:color w:val="222222"/>
          <w:lang w:val="en-IN" w:eastAsia="en-US"/>
        </w:rPr>
        <w:t>: Single</w:t>
      </w:r>
      <w:r w:rsidR="00237F10">
        <w:rPr>
          <w:rFonts w:ascii="Arial" w:eastAsia="Times New Roman" w:hAnsi="Arial" w:cs="Arial"/>
          <w:color w:val="222222"/>
          <w:lang w:val="en-IN" w:eastAsia="en-US"/>
        </w:rPr>
        <w:t xml:space="preserve"> </w:t>
      </w:r>
      <w:r w:rsidR="00016C60" w:rsidRPr="00016C60">
        <w:rPr>
          <w:rFonts w:ascii="Arial" w:eastAsia="Times New Roman" w:hAnsi="Arial" w:cs="Arial"/>
          <w:b/>
          <w:color w:val="222222"/>
          <w:lang w:val="en-IN" w:eastAsia="en-US"/>
        </w:rPr>
        <w:t>texts align</w:t>
      </w:r>
      <w:r w:rsidR="00016C60">
        <w:rPr>
          <w:rFonts w:ascii="Arial" w:eastAsia="Times New Roman" w:hAnsi="Arial" w:cs="Arial"/>
          <w:b/>
          <w:color w:val="222222"/>
          <w:lang w:val="en-IN" w:eastAsia="en-US"/>
        </w:rPr>
        <w:t xml:space="preserve">: </w:t>
      </w:r>
      <w:r w:rsidR="00237F10" w:rsidRPr="00016C60">
        <w:rPr>
          <w:rFonts w:ascii="Arial" w:eastAsia="Times New Roman" w:hAnsi="Arial" w:cs="Arial"/>
          <w:b/>
          <w:color w:val="222222"/>
          <w:lang w:val="en-IN" w:eastAsia="en-US"/>
        </w:rPr>
        <w:t xml:space="preserve"> </w:t>
      </w:r>
      <w:r w:rsidR="00C804AA" w:rsidRPr="00016C60">
        <w:rPr>
          <w:rFonts w:ascii="Arial" w:eastAsia="Times New Roman" w:hAnsi="Arial" w:cs="Arial"/>
          <w:b/>
          <w:color w:val="222222"/>
          <w:lang w:val="en-IN" w:eastAsia="en-US"/>
        </w:rPr>
        <w:t>justify</w:t>
      </w:r>
    </w:p>
    <w:p w14:paraId="1750B315" w14:textId="77777777" w:rsidR="00A9368B" w:rsidRPr="00A9368B" w:rsidRDefault="00A9368B" w:rsidP="001868E6">
      <w:pPr>
        <w:suppressAutoHyphens w:val="0"/>
        <w:jc w:val="left"/>
        <w:rPr>
          <w:rFonts w:ascii="Arial" w:eastAsia="Times New Roman" w:hAnsi="Arial" w:cs="Arial"/>
          <w:b/>
          <w:color w:val="222222"/>
          <w:sz w:val="19"/>
          <w:szCs w:val="19"/>
          <w:lang w:eastAsia="en-US"/>
        </w:rPr>
      </w:pPr>
      <w:r w:rsidRPr="00A9368B">
        <w:rPr>
          <w:rFonts w:ascii="Arial" w:eastAsia="Times New Roman" w:hAnsi="Arial" w:cs="Arial"/>
          <w:b/>
          <w:color w:val="222222"/>
          <w:lang w:val="en-IN" w:eastAsia="en-US"/>
        </w:rPr>
        <w:t xml:space="preserve">Title: </w:t>
      </w:r>
      <w:r>
        <w:rPr>
          <w:rFonts w:ascii="Arial" w:eastAsia="Times New Roman" w:hAnsi="Arial" w:cs="Arial"/>
          <w:b/>
          <w:color w:val="222222"/>
          <w:lang w:val="en-IN" w:eastAsia="en-US"/>
        </w:rPr>
        <w:t xml:space="preserve">24pt </w:t>
      </w:r>
      <w:r w:rsidRPr="00A9368B">
        <w:rPr>
          <w:rFonts w:ascii="Arial" w:eastAsia="Times New Roman" w:hAnsi="Arial" w:cs="Arial"/>
          <w:b/>
          <w:color w:val="222222"/>
          <w:lang w:val="en-IN" w:eastAsia="en-US"/>
        </w:rPr>
        <w:t>Times New Roman</w:t>
      </w:r>
      <w:r w:rsidR="00016C60">
        <w:rPr>
          <w:rFonts w:ascii="Arial" w:eastAsia="Times New Roman" w:hAnsi="Arial" w:cs="Arial"/>
          <w:b/>
          <w:color w:val="222222"/>
          <w:lang w:val="en-IN" w:eastAsia="en-US"/>
        </w:rPr>
        <w:t xml:space="preserve"> </w:t>
      </w:r>
      <w:r w:rsidR="00016C60" w:rsidRPr="00016C60">
        <w:rPr>
          <w:rFonts w:ascii="Arial" w:eastAsia="Times New Roman" w:hAnsi="Arial" w:cs="Arial"/>
          <w:b/>
          <w:color w:val="222222"/>
          <w:lang w:val="en-IN" w:eastAsia="en-US"/>
        </w:rPr>
        <w:t>align</w:t>
      </w:r>
      <w:r w:rsidR="00016C60">
        <w:rPr>
          <w:rFonts w:ascii="Arial" w:eastAsia="Times New Roman" w:hAnsi="Arial" w:cs="Arial"/>
          <w:b/>
          <w:color w:val="222222"/>
          <w:lang w:val="en-IN" w:eastAsia="en-US"/>
        </w:rPr>
        <w:t xml:space="preserve">: </w:t>
      </w:r>
      <w:r w:rsidR="00860DA1">
        <w:rPr>
          <w:rFonts w:ascii="Arial" w:eastAsia="Times New Roman" w:hAnsi="Arial" w:cs="Arial"/>
          <w:b/>
          <w:color w:val="222222"/>
          <w:lang w:val="en-IN" w:eastAsia="en-US"/>
        </w:rPr>
        <w:t>centre</w:t>
      </w:r>
    </w:p>
    <w:p w14:paraId="0DF2EB46"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Page Margins:</w:t>
      </w:r>
      <w:r w:rsidRPr="00A9368B">
        <w:rPr>
          <w:rFonts w:ascii="Arial" w:eastAsia="Times New Roman" w:hAnsi="Arial" w:cs="Arial"/>
          <w:color w:val="222222"/>
          <w:lang w:val="en-IN" w:eastAsia="en-US"/>
        </w:rPr>
        <w:t>  Left – 0.51”, Right – 0.51”, Top – 0.75”, Bottom – 0.75”</w:t>
      </w:r>
    </w:p>
    <w:p w14:paraId="3B388A36"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Font:</w:t>
      </w:r>
      <w:r w:rsidRPr="00A9368B">
        <w:rPr>
          <w:rFonts w:ascii="Arial" w:eastAsia="Times New Roman" w:hAnsi="Arial" w:cs="Arial"/>
          <w:color w:val="222222"/>
          <w:lang w:val="en-IN" w:eastAsia="en-US"/>
        </w:rPr>
        <w:t> Use Only Times New Roman for whole paper</w:t>
      </w:r>
    </w:p>
    <w:p w14:paraId="031B12C9"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Figure caption:</w:t>
      </w:r>
      <w:r w:rsidRPr="00A9368B">
        <w:rPr>
          <w:rFonts w:ascii="Arial" w:eastAsia="Times New Roman" w:hAnsi="Arial" w:cs="Arial"/>
          <w:color w:val="222222"/>
          <w:lang w:val="en-IN" w:eastAsia="en-US"/>
        </w:rPr>
        <w:t> Font size- 10”, lower case and Write below the figure, position-</w:t>
      </w:r>
      <w:proofErr w:type="spellStart"/>
      <w:r w:rsidRPr="00A9368B">
        <w:rPr>
          <w:rFonts w:ascii="Arial" w:eastAsia="Times New Roman" w:hAnsi="Arial" w:cs="Arial"/>
          <w:color w:val="222222"/>
          <w:lang w:val="en-IN" w:eastAsia="en-US"/>
        </w:rPr>
        <w:t>center</w:t>
      </w:r>
      <w:proofErr w:type="spellEnd"/>
    </w:p>
    <w:p w14:paraId="40AC6257"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Table Caption:</w:t>
      </w:r>
      <w:r w:rsidRPr="00A9368B">
        <w:rPr>
          <w:rFonts w:ascii="Arial" w:eastAsia="Times New Roman" w:hAnsi="Arial" w:cs="Arial"/>
          <w:color w:val="222222"/>
          <w:lang w:val="en-IN" w:eastAsia="en-US"/>
        </w:rPr>
        <w:t>  Font- 10”, lower case and Top of the table, position-</w:t>
      </w:r>
      <w:proofErr w:type="spellStart"/>
      <w:r w:rsidRPr="00A9368B">
        <w:rPr>
          <w:rFonts w:ascii="Arial" w:eastAsia="Times New Roman" w:hAnsi="Arial" w:cs="Arial"/>
          <w:color w:val="222222"/>
          <w:lang w:val="en-IN" w:eastAsia="en-US"/>
        </w:rPr>
        <w:t>center</w:t>
      </w:r>
      <w:proofErr w:type="spellEnd"/>
    </w:p>
    <w:p w14:paraId="30457BBA"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Paragraph:</w:t>
      </w:r>
      <w:r w:rsidRPr="00A9368B">
        <w:rPr>
          <w:rFonts w:ascii="Arial" w:eastAsia="Times New Roman" w:hAnsi="Arial" w:cs="Arial"/>
          <w:color w:val="222222"/>
          <w:lang w:val="en-IN" w:eastAsia="en-US"/>
        </w:rPr>
        <w:t> Paragraph Indentation by- 0.2”</w:t>
      </w:r>
    </w:p>
    <w:p w14:paraId="74A84A0F"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Line Spacing:</w:t>
      </w:r>
      <w:r w:rsidRPr="00A9368B">
        <w:rPr>
          <w:rFonts w:ascii="Arial" w:eastAsia="Times New Roman" w:hAnsi="Arial" w:cs="Arial"/>
          <w:color w:val="222222"/>
          <w:lang w:val="en-IN" w:eastAsia="en-US"/>
        </w:rPr>
        <w:t> single</w:t>
      </w:r>
    </w:p>
    <w:p w14:paraId="772E2A31" w14:textId="77777777" w:rsidR="00A9368B" w:rsidRDefault="00A9368B" w:rsidP="001868E6">
      <w:pPr>
        <w:suppressAutoHyphens w:val="0"/>
        <w:jc w:val="left"/>
        <w:rPr>
          <w:rFonts w:ascii="Arial" w:eastAsia="Times New Roman" w:hAnsi="Arial" w:cs="Arial"/>
          <w:color w:val="222222"/>
          <w:lang w:val="en-IN" w:eastAsia="en-US"/>
        </w:rPr>
      </w:pPr>
      <w:r w:rsidRPr="00A9368B">
        <w:rPr>
          <w:rFonts w:ascii="Arial" w:eastAsia="Times New Roman" w:hAnsi="Arial" w:cs="Arial"/>
          <w:b/>
          <w:bCs/>
          <w:color w:val="222222"/>
          <w:lang w:val="en-IN" w:eastAsia="en-US"/>
        </w:rPr>
        <w:t>Before</w:t>
      </w:r>
      <w:r w:rsidRPr="00A9368B">
        <w:rPr>
          <w:rFonts w:ascii="Arial" w:eastAsia="Times New Roman" w:hAnsi="Arial" w:cs="Arial"/>
          <w:color w:val="222222"/>
          <w:lang w:val="en-IN" w:eastAsia="en-US"/>
        </w:rPr>
        <w:t>: 0” </w:t>
      </w:r>
      <w:r w:rsidRPr="00A9368B">
        <w:rPr>
          <w:rFonts w:ascii="Arial" w:eastAsia="Times New Roman" w:hAnsi="Arial" w:cs="Arial"/>
          <w:b/>
          <w:bCs/>
          <w:color w:val="222222"/>
          <w:lang w:val="en-IN" w:eastAsia="en-US"/>
        </w:rPr>
        <w:t>After:</w:t>
      </w:r>
      <w:r w:rsidRPr="00A9368B">
        <w:rPr>
          <w:rFonts w:ascii="Arial" w:eastAsia="Times New Roman" w:hAnsi="Arial" w:cs="Arial"/>
          <w:color w:val="222222"/>
          <w:lang w:val="en-IN" w:eastAsia="en-US"/>
        </w:rPr>
        <w:t> 0”</w:t>
      </w:r>
    </w:p>
    <w:p w14:paraId="411586AC" w14:textId="08AF5E18" w:rsidR="00D71D91" w:rsidRDefault="00D71D91" w:rsidP="001868E6">
      <w:pPr>
        <w:suppressAutoHyphens w:val="0"/>
        <w:jc w:val="left"/>
        <w:rPr>
          <w:rFonts w:ascii="Arial" w:eastAsia="Times New Roman" w:hAnsi="Arial" w:cs="Arial"/>
          <w:color w:val="222222"/>
          <w:lang w:val="en-IN" w:eastAsia="en-US"/>
        </w:rPr>
      </w:pPr>
      <w:r w:rsidRPr="00D71D91">
        <w:rPr>
          <w:rFonts w:ascii="Arial" w:eastAsia="Times New Roman" w:hAnsi="Arial" w:cs="Arial"/>
          <w:b/>
          <w:color w:val="222222"/>
          <w:lang w:val="en-IN" w:eastAsia="en-US"/>
        </w:rPr>
        <w:t>Header</w:t>
      </w:r>
      <w:r>
        <w:rPr>
          <w:rFonts w:ascii="Arial" w:eastAsia="Times New Roman" w:hAnsi="Arial" w:cs="Arial"/>
          <w:color w:val="222222"/>
          <w:lang w:val="en-IN" w:eastAsia="en-US"/>
        </w:rPr>
        <w:t xml:space="preserve"> 0.3” </w:t>
      </w:r>
      <w:r w:rsidRPr="00D71D91">
        <w:rPr>
          <w:rFonts w:ascii="Arial" w:eastAsia="Times New Roman" w:hAnsi="Arial" w:cs="Arial"/>
          <w:b/>
          <w:color w:val="222222"/>
          <w:lang w:val="en-IN" w:eastAsia="en-US"/>
        </w:rPr>
        <w:t>footer</w:t>
      </w:r>
      <w:r>
        <w:rPr>
          <w:rFonts w:ascii="Arial" w:eastAsia="Times New Roman" w:hAnsi="Arial" w:cs="Arial"/>
          <w:color w:val="222222"/>
          <w:lang w:val="en-IN" w:eastAsia="en-US"/>
        </w:rPr>
        <w:t xml:space="preserve"> </w:t>
      </w:r>
      <w:r w:rsidRPr="00D71D91">
        <w:rPr>
          <w:rFonts w:ascii="Arial" w:eastAsia="Times New Roman" w:hAnsi="Arial" w:cs="Arial"/>
          <w:color w:val="222222"/>
          <w:lang w:val="en-IN" w:eastAsia="en-US"/>
        </w:rPr>
        <w:t>0”</w:t>
      </w:r>
    </w:p>
    <w:p w14:paraId="4AB98394" w14:textId="77777777" w:rsidR="002C1C6B" w:rsidRDefault="002C1C6B" w:rsidP="00A9368B">
      <w:pPr>
        <w:shd w:val="clear" w:color="auto" w:fill="FFFFFF"/>
        <w:suppressAutoHyphens w:val="0"/>
        <w:jc w:val="left"/>
        <w:rPr>
          <w:rFonts w:ascii="Arial" w:eastAsia="Times New Roman" w:hAnsi="Arial" w:cs="Arial"/>
          <w:color w:val="222222"/>
          <w:lang w:val="en-IN" w:eastAsia="en-US"/>
        </w:rPr>
      </w:pPr>
    </w:p>
    <w:p w14:paraId="21C0B385" w14:textId="77777777" w:rsidR="00A9368B" w:rsidRPr="00A9368B" w:rsidRDefault="00A9368B" w:rsidP="00A9368B">
      <w:pPr>
        <w:pStyle w:val="BodyText"/>
        <w:rPr>
          <w:lang w:eastAsia="en-US"/>
        </w:rPr>
      </w:pPr>
    </w:p>
    <w:p w14:paraId="5645168E" w14:textId="77777777" w:rsidR="00DE3535" w:rsidRDefault="00DE3535" w:rsidP="00DE3535">
      <w:pPr>
        <w:jc w:val="both"/>
      </w:pPr>
      <w:r w:rsidRPr="00F6088E">
        <w:rPr>
          <w:b/>
          <w:bCs/>
        </w:rPr>
        <w:t>INTRODUCTION</w:t>
      </w:r>
      <w:r w:rsidRPr="00F6088E">
        <w:rPr>
          <w:b/>
          <w:bCs/>
        </w:rPr>
        <w:br/>
      </w:r>
      <w:r w:rsidRPr="00F6088E">
        <w:t>Hospital or health care waste is generally named &amp; popular as biomedical waste.</w:t>
      </w:r>
      <w:r>
        <w:t xml:space="preserve"> </w:t>
      </w:r>
      <w:r w:rsidRPr="00F6088E">
        <w:t xml:space="preserve">The world health organization defines biomedical waste </w:t>
      </w:r>
      <w:proofErr w:type="gramStart"/>
      <w:r w:rsidRPr="00F6088E">
        <w:t>as ,</w:t>
      </w:r>
      <w:proofErr w:type="gramEnd"/>
      <w:r w:rsidRPr="00F6088E">
        <w:t>’’Waste generation by health</w:t>
      </w:r>
      <w:r>
        <w:t xml:space="preserve"> </w:t>
      </w:r>
      <w:r w:rsidRPr="00F6088E">
        <w:t>care activities &amp; includes blood, used needles, pharmaceuticals, radioactive materials</w:t>
      </w:r>
      <w:r>
        <w:t xml:space="preserve"> </w:t>
      </w:r>
      <w:r w:rsidRPr="00F6088E">
        <w:t>etc.” The biomedical waste is also known as infectious waste or medical waste or health</w:t>
      </w:r>
      <w:r>
        <w:t xml:space="preserve"> </w:t>
      </w:r>
      <w:r w:rsidRPr="00F6088E">
        <w:t>care waste.</w:t>
      </w:r>
      <w:r>
        <w:t xml:space="preserve"> </w:t>
      </w:r>
      <w:r w:rsidRPr="00F6088E">
        <w:t>According to biomedical waste management &amp; handling rules 1998 of India. Biomedical</w:t>
      </w:r>
      <w:r>
        <w:t xml:space="preserve"> </w:t>
      </w:r>
      <w:r w:rsidRPr="00F6088E">
        <w:t>waste means any waste which is generated during the diagnosis, treatment or</w:t>
      </w:r>
      <w:r>
        <w:t xml:space="preserve"> </w:t>
      </w:r>
      <w:r w:rsidRPr="00F6088E">
        <w:t>immunization of human being or animals or in research activities.</w:t>
      </w:r>
      <w:r>
        <w:t xml:space="preserve"> </w:t>
      </w:r>
      <w:r w:rsidRPr="00F6088E">
        <w:t>In simple words biomedical waste is the waste generated by the medical &amp; health</w:t>
      </w:r>
      <w:r>
        <w:t xml:space="preserve"> </w:t>
      </w:r>
      <w:r w:rsidRPr="00F6088E">
        <w:t>institute/agencies.</w:t>
      </w:r>
    </w:p>
    <w:p w14:paraId="3EAB237D" w14:textId="27A05134" w:rsidR="00DE3535" w:rsidRPr="00F6088E" w:rsidRDefault="00DE3535" w:rsidP="00DE3535">
      <w:pPr>
        <w:jc w:val="both"/>
      </w:pPr>
      <w:r w:rsidRPr="00F6088E">
        <w:br/>
        <w:t>Biomedical waste management defines waste management as the practices &amp; procedures</w:t>
      </w:r>
      <w:r>
        <w:t xml:space="preserve"> </w:t>
      </w:r>
      <w:r w:rsidRPr="00F6088E">
        <w:t>or the administration of activities that provide for the collection, source separation,</w:t>
      </w:r>
      <w:r>
        <w:t xml:space="preserve"> </w:t>
      </w:r>
      <w:r w:rsidRPr="00F6088E">
        <w:t xml:space="preserve">storage, transportation, transfer, processing, treatment &amp; disposal of </w:t>
      </w:r>
      <w:proofErr w:type="gramStart"/>
      <w:r w:rsidRPr="00F6088E">
        <w:t>waste .</w:t>
      </w:r>
      <w:proofErr w:type="gramEnd"/>
      <w:r>
        <w:t xml:space="preserve"> </w:t>
      </w:r>
      <w:r w:rsidRPr="00F6088E">
        <w:t>Biomedical waste management is a routine procedure of hospital administration as</w:t>
      </w:r>
      <w:r>
        <w:t xml:space="preserve"> </w:t>
      </w:r>
      <w:r w:rsidRPr="00F6088E">
        <w:t xml:space="preserve">prescribed by </w:t>
      </w:r>
      <w:proofErr w:type="gramStart"/>
      <w:r w:rsidRPr="00F6088E">
        <w:t>law .Hospital</w:t>
      </w:r>
      <w:proofErr w:type="gramEnd"/>
      <w:r w:rsidRPr="00F6088E">
        <w:t xml:space="preserve"> </w:t>
      </w:r>
      <w:proofErr w:type="gramStart"/>
      <w:r w:rsidRPr="00F6088E">
        <w:t>waste ,</w:t>
      </w:r>
      <w:proofErr w:type="gramEnd"/>
      <w:r w:rsidRPr="00F6088E">
        <w:t xml:space="preserve"> hospital acquired </w:t>
      </w:r>
      <w:proofErr w:type="gramStart"/>
      <w:r w:rsidRPr="00F6088E">
        <w:t>infection ,</w:t>
      </w:r>
      <w:proofErr w:type="gramEnd"/>
      <w:r w:rsidRPr="00F6088E">
        <w:t xml:space="preserve"> transfusion transmitted</w:t>
      </w:r>
      <w:r>
        <w:t xml:space="preserve"> </w:t>
      </w:r>
      <w:r w:rsidRPr="00F6088E">
        <w:t>diseases, rising incidence of hepatitis B, HIV &amp; Other diseases, create potential threat</w:t>
      </w:r>
      <w:r>
        <w:t xml:space="preserve"> </w:t>
      </w:r>
      <w:r w:rsidRPr="00F6088E">
        <w:t>of infection, contamination &amp; serious health hazards to doctors, nurses, ward boys,</w:t>
      </w:r>
      <w:r>
        <w:t xml:space="preserve"> </w:t>
      </w:r>
      <w:r w:rsidRPr="00F6088E">
        <w:t>support staff, sanitation workers, rag pickers &amp; other health care workers. Who are</w:t>
      </w:r>
      <w:r>
        <w:t xml:space="preserve"> </w:t>
      </w:r>
      <w:r w:rsidRPr="00F6088E">
        <w:t xml:space="preserve">regularly exposed to biomedical waste as an </w:t>
      </w:r>
      <w:proofErr w:type="gramStart"/>
      <w:r w:rsidRPr="00F6088E">
        <w:t>occupation hazards</w:t>
      </w:r>
      <w:proofErr w:type="gramEnd"/>
      <w:r w:rsidRPr="00F6088E">
        <w:t xml:space="preserve"> as well as general</w:t>
      </w:r>
      <w:r>
        <w:t xml:space="preserve"> </w:t>
      </w:r>
      <w:r w:rsidRPr="00F6088E">
        <w:t xml:space="preserve">public in the surrounding </w:t>
      </w:r>
      <w:proofErr w:type="gramStart"/>
      <w:r w:rsidRPr="00F6088E">
        <w:t>area .</w:t>
      </w:r>
      <w:proofErr w:type="gramEnd"/>
    </w:p>
    <w:p w14:paraId="0CA94EB4" w14:textId="77777777" w:rsidR="002C1C6B" w:rsidRDefault="00DE3535" w:rsidP="00DE3535">
      <w:pPr>
        <w:jc w:val="both"/>
        <w:rPr>
          <w:b/>
          <w:bCs/>
        </w:rPr>
      </w:pPr>
      <w:r w:rsidRPr="00F6088E">
        <w:br/>
      </w:r>
    </w:p>
    <w:p w14:paraId="1BB216FD" w14:textId="77777777" w:rsidR="002C1C6B" w:rsidRDefault="002C1C6B" w:rsidP="00DE3535">
      <w:pPr>
        <w:jc w:val="both"/>
        <w:rPr>
          <w:b/>
          <w:bCs/>
        </w:rPr>
      </w:pPr>
    </w:p>
    <w:p w14:paraId="4F9E0806" w14:textId="7EFF1ABF" w:rsidR="00DE3535" w:rsidRPr="00F6088E" w:rsidRDefault="00DE3535" w:rsidP="00DE3535">
      <w:pPr>
        <w:jc w:val="both"/>
        <w:rPr>
          <w:b/>
          <w:bCs/>
        </w:rPr>
      </w:pPr>
      <w:r w:rsidRPr="00F6088E">
        <w:rPr>
          <w:b/>
          <w:bCs/>
        </w:rPr>
        <w:t>NEED OF THE STUDY.</w:t>
      </w:r>
    </w:p>
    <w:p w14:paraId="7CA6BDBF" w14:textId="683F3D01" w:rsidR="00DE3535" w:rsidRDefault="00DE3535" w:rsidP="00DE3535">
      <w:pPr>
        <w:jc w:val="both"/>
      </w:pPr>
      <w:r w:rsidRPr="00F6088E">
        <w:t>The establishment of large hospitals where hundreds to thousands of patients are</w:t>
      </w:r>
      <w:r>
        <w:t xml:space="preserve"> </w:t>
      </w:r>
      <w:proofErr w:type="gramStart"/>
      <w:r w:rsidRPr="00F6088E">
        <w:t>treated ,</w:t>
      </w:r>
      <w:proofErr w:type="gramEnd"/>
      <w:r w:rsidRPr="00F6088E">
        <w:t xml:space="preserve"> it has created a </w:t>
      </w:r>
      <w:proofErr w:type="gramStart"/>
      <w:r w:rsidRPr="00F6088E">
        <w:t>serious problems of biomedical waste management</w:t>
      </w:r>
      <w:proofErr w:type="gramEnd"/>
      <w:r w:rsidRPr="00F6088E">
        <w:t>. The</w:t>
      </w:r>
      <w:r>
        <w:t xml:space="preserve"> </w:t>
      </w:r>
      <w:r w:rsidRPr="00F6088E">
        <w:t>seriousness of improper biomedical waste management was brought to the light</w:t>
      </w:r>
      <w:r>
        <w:t xml:space="preserve"> </w:t>
      </w:r>
      <w:r w:rsidRPr="00F6088E">
        <w:t>during summer 1998. In India studies have been carried out at local / regional levels</w:t>
      </w:r>
      <w:r>
        <w:t xml:space="preserve"> </w:t>
      </w:r>
      <w:r w:rsidRPr="00F6088E">
        <w:t>in various hospitals, indicate that roughly about 1-5 kg/bed/day to waste is generated.</w:t>
      </w:r>
      <w:r>
        <w:t xml:space="preserve"> </w:t>
      </w:r>
      <w:r w:rsidRPr="00F6088E">
        <w:t xml:space="preserve">Among all health care </w:t>
      </w:r>
      <w:proofErr w:type="gramStart"/>
      <w:r w:rsidRPr="00F6088E">
        <w:t>personnel ,ward</w:t>
      </w:r>
      <w:proofErr w:type="gramEnd"/>
      <w:r w:rsidRPr="00F6088E">
        <w:t xml:space="preserve"> </w:t>
      </w:r>
      <w:proofErr w:type="gramStart"/>
      <w:r w:rsidRPr="00F6088E">
        <w:t>boys ,</w:t>
      </w:r>
      <w:proofErr w:type="gramEnd"/>
      <w:r w:rsidRPr="00F6088E">
        <w:t xml:space="preserve"> sweepers, operation theatre &amp;</w:t>
      </w:r>
      <w:r>
        <w:t xml:space="preserve"> </w:t>
      </w:r>
      <w:r w:rsidRPr="00F6088E">
        <w:t>laboratory attendants have come into contact with biomedical waste during the</w:t>
      </w:r>
      <w:r>
        <w:t xml:space="preserve"> </w:t>
      </w:r>
      <w:r w:rsidRPr="00F6088E">
        <w:t xml:space="preserve">process of </w:t>
      </w:r>
      <w:proofErr w:type="gramStart"/>
      <w:r w:rsidRPr="00F6088E">
        <w:t>segregation ,</w:t>
      </w:r>
      <w:proofErr w:type="gramEnd"/>
      <w:r w:rsidRPr="00F6088E">
        <w:t xml:space="preserve"> collection, transport, storage &amp; final </w:t>
      </w:r>
      <w:proofErr w:type="gramStart"/>
      <w:r w:rsidRPr="00F6088E">
        <w:t>disposal .</w:t>
      </w:r>
      <w:proofErr w:type="gramEnd"/>
      <w:r w:rsidRPr="00F6088E">
        <w:t xml:space="preserve"> The knowledge</w:t>
      </w:r>
      <w:r>
        <w:t xml:space="preserve"> </w:t>
      </w:r>
      <w:r w:rsidRPr="00F6088E">
        <w:t xml:space="preserve">of </w:t>
      </w:r>
      <w:proofErr w:type="gramStart"/>
      <w:r w:rsidRPr="00F6088E">
        <w:t>medical ,</w:t>
      </w:r>
      <w:proofErr w:type="gramEnd"/>
      <w:r w:rsidRPr="00F6088E">
        <w:t xml:space="preserve"> paramedical staff &amp; ward </w:t>
      </w:r>
      <w:proofErr w:type="gramStart"/>
      <w:r w:rsidRPr="00F6088E">
        <w:t>boys ,</w:t>
      </w:r>
      <w:proofErr w:type="gramEnd"/>
      <w:r w:rsidRPr="00F6088E">
        <w:t xml:space="preserve"> sweepers about the biomedical waste</w:t>
      </w:r>
      <w:r>
        <w:t xml:space="preserve"> </w:t>
      </w:r>
      <w:r w:rsidRPr="00F6088E">
        <w:t>management is important to improve the biomedical waste management practices.</w:t>
      </w:r>
      <w:r>
        <w:t xml:space="preserve"> </w:t>
      </w:r>
      <w:r w:rsidRPr="00F6088E">
        <w:t>The biomedical waste requiring special attention includes those that are potentially</w:t>
      </w:r>
      <w:r>
        <w:t xml:space="preserve"> </w:t>
      </w:r>
      <w:proofErr w:type="gramStart"/>
      <w:r w:rsidRPr="00F6088E">
        <w:t>infectious ,</w:t>
      </w:r>
      <w:proofErr w:type="gramEnd"/>
      <w:r w:rsidRPr="00F6088E">
        <w:t xml:space="preserve"> </w:t>
      </w:r>
      <w:proofErr w:type="gramStart"/>
      <w:r w:rsidRPr="00F6088E">
        <w:t>sharps ,example</w:t>
      </w:r>
      <w:proofErr w:type="gramEnd"/>
      <w:r w:rsidRPr="00F6088E">
        <w:t xml:space="preserve"> </w:t>
      </w:r>
      <w:proofErr w:type="gramStart"/>
      <w:r w:rsidRPr="00F6088E">
        <w:t>needle ,</w:t>
      </w:r>
      <w:proofErr w:type="gramEnd"/>
      <w:r w:rsidRPr="00F6088E">
        <w:t xml:space="preserve"> </w:t>
      </w:r>
      <w:proofErr w:type="gramStart"/>
      <w:r w:rsidRPr="00F6088E">
        <w:t>scalpels ,</w:t>
      </w:r>
      <w:proofErr w:type="gramEnd"/>
      <w:r w:rsidRPr="00F6088E">
        <w:t xml:space="preserve"> objects capable of puncturing the </w:t>
      </w:r>
      <w:proofErr w:type="gramStart"/>
      <w:r w:rsidRPr="00F6088E">
        <w:t>skin ,</w:t>
      </w:r>
      <w:proofErr w:type="gramEnd"/>
      <w:r>
        <w:t xml:space="preserve"> </w:t>
      </w:r>
      <w:r w:rsidRPr="00F6088E">
        <w:t xml:space="preserve">also </w:t>
      </w:r>
      <w:proofErr w:type="gramStart"/>
      <w:r w:rsidRPr="00F6088E">
        <w:t>plastic ,pharmaceutical</w:t>
      </w:r>
      <w:proofErr w:type="gramEnd"/>
      <w:r w:rsidRPr="00F6088E">
        <w:t xml:space="preserve"> &amp; chemically hazardous substances used in laboratories etc.</w:t>
      </w:r>
    </w:p>
    <w:p w14:paraId="610520B7" w14:textId="00F9E18F" w:rsidR="00C26B91" w:rsidRPr="00691748" w:rsidRDefault="00DE3535" w:rsidP="00C26B91">
      <w:pPr>
        <w:jc w:val="both"/>
        <w:rPr>
          <w:b/>
          <w:bCs/>
        </w:rPr>
      </w:pPr>
      <w:r w:rsidRPr="00F6088E">
        <w:br/>
      </w:r>
      <w:r w:rsidR="00C26B91" w:rsidRPr="00691748">
        <w:rPr>
          <w:b/>
          <w:bCs/>
        </w:rPr>
        <w:t>3.1</w:t>
      </w:r>
      <w:r w:rsidR="00C26B91" w:rsidRPr="00691748">
        <w:rPr>
          <w:b/>
        </w:rPr>
        <w:t xml:space="preserve">Population and Sample </w:t>
      </w:r>
    </w:p>
    <w:p w14:paraId="1CC4FD8D" w14:textId="77777777" w:rsidR="00C26B91" w:rsidRPr="00691748" w:rsidRDefault="00C26B91" w:rsidP="00C26B91">
      <w:pPr>
        <w:jc w:val="both"/>
      </w:pPr>
      <w:r w:rsidRPr="00691748">
        <w:tab/>
        <w:t xml:space="preserve">KSE-100 index is an index of 100 companies selected from 580 companies on the basis of sector leading and market capitalization. It represents almost 80% weight of the total market capitalization of KSE. It reflects different sector company’s performance and productivity. It is the performance indicator or benchmark of all listed companies of KSE. </w:t>
      </w:r>
      <w:proofErr w:type="gramStart"/>
      <w:r w:rsidRPr="00691748">
        <w:t>So</w:t>
      </w:r>
      <w:proofErr w:type="gramEnd"/>
      <w:r w:rsidRPr="00691748">
        <w:t xml:space="preserve"> it can be regarded as universe of the </w:t>
      </w:r>
      <w:proofErr w:type="spellStart"/>
      <w:proofErr w:type="gramStart"/>
      <w:r w:rsidRPr="00691748">
        <w:t>study.Non</w:t>
      </w:r>
      <w:proofErr w:type="spellEnd"/>
      <w:proofErr w:type="gramEnd"/>
      <w:r w:rsidRPr="00691748">
        <w:t>-financial firms listed at KSE-100 Index (74 companies according to the page of KSE visited on 20.5.2015) are treated as universe of the study and the study have selected sample from these companies.</w:t>
      </w:r>
    </w:p>
    <w:p w14:paraId="4C3FC15F" w14:textId="77777777" w:rsidR="00C26B91" w:rsidRPr="00691748" w:rsidRDefault="00C26B91" w:rsidP="00C26B91">
      <w:pPr>
        <w:jc w:val="both"/>
      </w:pPr>
      <w:r w:rsidRPr="00691748">
        <w:tab/>
        <w:t xml:space="preserve">The study comprised of non-financial companies listed at KSE-100 Index and 30 actively traded companies are selected on the bases of market </w:t>
      </w:r>
      <w:proofErr w:type="spellStart"/>
      <w:proofErr w:type="gramStart"/>
      <w:r w:rsidRPr="00691748">
        <w:t>capitalization.And</w:t>
      </w:r>
      <w:proofErr w:type="spellEnd"/>
      <w:proofErr w:type="gramEnd"/>
      <w:r w:rsidRPr="00691748">
        <w:t xml:space="preserve"> 2015 is taken as base year for KSE-100 index.</w:t>
      </w:r>
    </w:p>
    <w:p w14:paraId="44EA275D" w14:textId="77777777" w:rsidR="00C26B91" w:rsidRPr="00691748" w:rsidRDefault="00C26B91" w:rsidP="00C26B91">
      <w:pPr>
        <w:jc w:val="both"/>
        <w:rPr>
          <w:lang w:val="en-GB"/>
        </w:rPr>
      </w:pPr>
    </w:p>
    <w:p w14:paraId="65F4EA0F" w14:textId="77777777" w:rsidR="00C26B91" w:rsidRPr="00691748" w:rsidRDefault="00C26B91" w:rsidP="00C26B91">
      <w:pPr>
        <w:jc w:val="both"/>
      </w:pPr>
      <w:r w:rsidRPr="00691748">
        <w:rPr>
          <w:b/>
          <w:bCs/>
        </w:rPr>
        <w:t>3.2 Data and Sources of Data</w:t>
      </w:r>
    </w:p>
    <w:p w14:paraId="7FC42207" w14:textId="77777777" w:rsidR="00C26B91" w:rsidRDefault="00C26B91" w:rsidP="00C26B91">
      <w:pPr>
        <w:jc w:val="both"/>
      </w:pPr>
      <w:r w:rsidRPr="00691748">
        <w:tab/>
        <w:t>For this study secondary data has been collected. From the website of KSE the monthly stock prices for the sample firms are obtained from Jan 2010 to Dec 2014. And from the website of SBP the data for the macroeconomic variables are collected for the period of five years. The time series monthly data</w:t>
      </w:r>
      <w:r w:rsidRPr="00691748">
        <w:rPr>
          <w:lang w:val="en-GB"/>
        </w:rPr>
        <w:t xml:space="preserve"> is collected on stock prices for sample firms</w:t>
      </w:r>
      <w:r w:rsidRPr="00691748">
        <w:t xml:space="preserve">and relative macroeconomic variables for the period of 5 years. The data collection period is ranging from January 2010 to Dec 2014. Monthly prices of KSE -100 Index </w:t>
      </w:r>
      <w:proofErr w:type="gramStart"/>
      <w:r w:rsidRPr="00691748">
        <w:t>is</w:t>
      </w:r>
      <w:proofErr w:type="gramEnd"/>
      <w:r w:rsidRPr="00691748">
        <w:t xml:space="preserve"> taken from yahoo finance.</w:t>
      </w:r>
    </w:p>
    <w:p w14:paraId="225A6BEB" w14:textId="77777777" w:rsidR="00C26B91" w:rsidRPr="00691748" w:rsidRDefault="00C26B91" w:rsidP="00C26B91">
      <w:pPr>
        <w:jc w:val="both"/>
        <w:rPr>
          <w:b/>
          <w:bCs/>
        </w:rPr>
      </w:pPr>
    </w:p>
    <w:p w14:paraId="01EAD624" w14:textId="77777777" w:rsidR="00C26B91" w:rsidRPr="00691748" w:rsidRDefault="00C26B91" w:rsidP="00C26B91">
      <w:pPr>
        <w:jc w:val="both"/>
        <w:rPr>
          <w:b/>
          <w:bCs/>
        </w:rPr>
      </w:pPr>
      <w:r w:rsidRPr="00691748">
        <w:rPr>
          <w:b/>
          <w:bCs/>
        </w:rPr>
        <w:t>3.3 Theoretical framework</w:t>
      </w:r>
    </w:p>
    <w:p w14:paraId="2925C64C" w14:textId="77777777" w:rsidR="00C26B91" w:rsidRPr="00691748" w:rsidRDefault="00C26B91" w:rsidP="00C26B91">
      <w:pPr>
        <w:jc w:val="both"/>
      </w:pPr>
      <w:r w:rsidRPr="00691748">
        <w:tab/>
        <w:t xml:space="preserve">Variables of the study contains dependent and independent variable. The study used pre-specified method for the selection </w:t>
      </w:r>
      <w:proofErr w:type="spellStart"/>
      <w:r w:rsidRPr="00691748">
        <w:t>ofvariables</w:t>
      </w:r>
      <w:proofErr w:type="spellEnd"/>
      <w:r w:rsidRPr="00691748">
        <w:t>. The study used the Stock returns are as dependent variable. From the share price of the firm the Stock returns are calculated. Rate of a stock salable at stock market is known as stock price.</w:t>
      </w:r>
    </w:p>
    <w:p w14:paraId="29351353" w14:textId="77777777" w:rsidR="00C26B91" w:rsidRPr="00691748" w:rsidRDefault="00C26B91" w:rsidP="00C26B91">
      <w:pPr>
        <w:jc w:val="both"/>
      </w:pPr>
    </w:p>
    <w:p w14:paraId="0E6D65BB" w14:textId="5D143663" w:rsidR="00C26B91" w:rsidRPr="00980AF4" w:rsidRDefault="00C26B91" w:rsidP="00DE3535">
      <w:pPr>
        <w:jc w:val="both"/>
        <w:rPr>
          <w:b/>
          <w:bCs/>
        </w:rPr>
      </w:pPr>
      <w:r w:rsidRPr="00691748">
        <w:rPr>
          <w:bCs/>
        </w:rPr>
        <w:tab/>
      </w:r>
      <w:r w:rsidRPr="00980AF4">
        <w:rPr>
          <w:b/>
          <w:bCs/>
        </w:rPr>
        <w:t>RESEARCH METHODOLOGY</w:t>
      </w:r>
    </w:p>
    <w:p w14:paraId="15E467A4" w14:textId="77777777" w:rsidR="00C26B91" w:rsidRDefault="00C26B91" w:rsidP="00C26B91">
      <w:pPr>
        <w:jc w:val="both"/>
      </w:pPr>
    </w:p>
    <w:p w14:paraId="7668B499" w14:textId="77777777" w:rsidR="00C26B91" w:rsidRPr="00691748" w:rsidRDefault="00C26B91" w:rsidP="00C26B91">
      <w:pPr>
        <w:jc w:val="both"/>
      </w:pPr>
      <w:r>
        <w:t>T</w:t>
      </w:r>
      <w:r w:rsidRPr="00691748">
        <w:t xml:space="preserve">he methodology section </w:t>
      </w:r>
      <w:proofErr w:type="gramStart"/>
      <w:r w:rsidRPr="00691748">
        <w:t>outline</w:t>
      </w:r>
      <w:proofErr w:type="gramEnd"/>
      <w:r w:rsidRPr="00691748">
        <w:t xml:space="preserve"> the plan and method that how the study is conducted. This includes Universe of the study, sample of the </w:t>
      </w:r>
      <w:proofErr w:type="spellStart"/>
      <w:proofErr w:type="gramStart"/>
      <w:r w:rsidRPr="00691748">
        <w:t>study,</w:t>
      </w:r>
      <w:r w:rsidRPr="00691748">
        <w:rPr>
          <w:bCs/>
        </w:rPr>
        <w:t>Data</w:t>
      </w:r>
      <w:proofErr w:type="spellEnd"/>
      <w:proofErr w:type="gramEnd"/>
      <w:r w:rsidRPr="00691748">
        <w:rPr>
          <w:bCs/>
        </w:rPr>
        <w:t xml:space="preserve"> and Sources of Data</w:t>
      </w:r>
      <w:r w:rsidRPr="00691748">
        <w:t xml:space="preserve">, study’s variables and analytical framework. The </w:t>
      </w:r>
      <w:proofErr w:type="spellStart"/>
      <w:r w:rsidRPr="00691748">
        <w:t>detailsare</w:t>
      </w:r>
      <w:proofErr w:type="spellEnd"/>
      <w:r w:rsidRPr="00691748">
        <w:t xml:space="preserve"> as follows;</w:t>
      </w:r>
    </w:p>
    <w:p w14:paraId="29E5505D" w14:textId="77777777" w:rsidR="00C26B91" w:rsidRPr="00691748" w:rsidRDefault="00C26B91" w:rsidP="00C26B91">
      <w:pPr>
        <w:jc w:val="both"/>
      </w:pPr>
    </w:p>
    <w:p w14:paraId="5D48C026" w14:textId="77777777" w:rsidR="00C26B91" w:rsidRPr="00691748" w:rsidRDefault="00C26B91" w:rsidP="00C26B91">
      <w:pPr>
        <w:jc w:val="both"/>
        <w:rPr>
          <w:b/>
          <w:bCs/>
        </w:rPr>
      </w:pPr>
      <w:r w:rsidRPr="00691748">
        <w:rPr>
          <w:b/>
          <w:bCs/>
        </w:rPr>
        <w:t>3.1</w:t>
      </w:r>
      <w:r w:rsidRPr="00691748">
        <w:rPr>
          <w:b/>
        </w:rPr>
        <w:t xml:space="preserve">Population and Sample </w:t>
      </w:r>
    </w:p>
    <w:p w14:paraId="4B004CC4" w14:textId="77777777" w:rsidR="00C26B91" w:rsidRPr="00691748" w:rsidRDefault="00C26B91" w:rsidP="00C26B91">
      <w:pPr>
        <w:jc w:val="both"/>
      </w:pPr>
      <w:r w:rsidRPr="00691748">
        <w:tab/>
        <w:t xml:space="preserve">KSE-100 index is an index of 100 companies selected from 580 companies on the basis of sector leading and market capitalization. It represents almost 80% weight of the total market capitalization of KSE. It reflects different sector company’s performance and productivity. It is the performance indicator or benchmark of all listed companies of KSE. </w:t>
      </w:r>
      <w:proofErr w:type="gramStart"/>
      <w:r w:rsidRPr="00691748">
        <w:t>So</w:t>
      </w:r>
      <w:proofErr w:type="gramEnd"/>
      <w:r w:rsidRPr="00691748">
        <w:t xml:space="preserve"> it can be regarded as universe of the </w:t>
      </w:r>
      <w:proofErr w:type="spellStart"/>
      <w:proofErr w:type="gramStart"/>
      <w:r w:rsidRPr="00691748">
        <w:t>study.Non</w:t>
      </w:r>
      <w:proofErr w:type="spellEnd"/>
      <w:proofErr w:type="gramEnd"/>
      <w:r w:rsidRPr="00691748">
        <w:t>-financial firms listed at KSE-100 Index (74 companies according to the page of KSE visited on 20.5.2015) are treated as universe of the study and the study have selected sample from these companies.</w:t>
      </w:r>
    </w:p>
    <w:p w14:paraId="658DE8AC" w14:textId="77777777" w:rsidR="00C26B91" w:rsidRPr="00691748" w:rsidRDefault="00C26B91" w:rsidP="00C26B91">
      <w:pPr>
        <w:jc w:val="both"/>
      </w:pPr>
      <w:r w:rsidRPr="00691748">
        <w:tab/>
        <w:t xml:space="preserve">The study comprised of non-financial companies listed at KSE-100 Index and 30 actively traded companies are selected on the bases of market </w:t>
      </w:r>
      <w:proofErr w:type="spellStart"/>
      <w:proofErr w:type="gramStart"/>
      <w:r w:rsidRPr="00691748">
        <w:t>capitalization.And</w:t>
      </w:r>
      <w:proofErr w:type="spellEnd"/>
      <w:proofErr w:type="gramEnd"/>
      <w:r w:rsidRPr="00691748">
        <w:t xml:space="preserve"> 2015 is taken as base year for KSE-100 index.</w:t>
      </w:r>
    </w:p>
    <w:p w14:paraId="1023F6CA" w14:textId="77777777" w:rsidR="00C26B91" w:rsidRPr="00691748" w:rsidRDefault="00C26B91" w:rsidP="00C26B91">
      <w:pPr>
        <w:jc w:val="both"/>
        <w:rPr>
          <w:lang w:val="en-GB"/>
        </w:rPr>
      </w:pPr>
    </w:p>
    <w:p w14:paraId="4EBF50DD" w14:textId="77777777" w:rsidR="00C26B91" w:rsidRPr="00691748" w:rsidRDefault="00C26B91" w:rsidP="00C26B91">
      <w:pPr>
        <w:jc w:val="both"/>
      </w:pPr>
      <w:r w:rsidRPr="00691748">
        <w:rPr>
          <w:b/>
          <w:bCs/>
        </w:rPr>
        <w:t>3.2 Data and Sources of Data</w:t>
      </w:r>
    </w:p>
    <w:p w14:paraId="1C8E11F1" w14:textId="77777777" w:rsidR="00C26B91" w:rsidRDefault="00C26B91" w:rsidP="00C26B91">
      <w:pPr>
        <w:jc w:val="both"/>
      </w:pPr>
      <w:r w:rsidRPr="00691748">
        <w:tab/>
        <w:t>For this study secondary data has been collected. From the website of KSE the monthly stock prices for the sample firms are obtained from Jan 2010 to Dec 2014. And from the website of SBP the data for the macroeconomic variables are collected for the period of five years. The time series monthly data</w:t>
      </w:r>
      <w:r w:rsidRPr="00691748">
        <w:rPr>
          <w:lang w:val="en-GB"/>
        </w:rPr>
        <w:t xml:space="preserve"> is collected on stock prices for sample firms</w:t>
      </w:r>
      <w:r w:rsidRPr="00691748">
        <w:t xml:space="preserve">and relative macroeconomic variables for the period of 5 years. The data collection period is ranging from January 2010 to Dec 2014. Monthly prices of KSE -100 Index </w:t>
      </w:r>
      <w:proofErr w:type="gramStart"/>
      <w:r w:rsidRPr="00691748">
        <w:t>is</w:t>
      </w:r>
      <w:proofErr w:type="gramEnd"/>
      <w:r w:rsidRPr="00691748">
        <w:t xml:space="preserve"> taken from yahoo finance.</w:t>
      </w:r>
    </w:p>
    <w:p w14:paraId="1153145C" w14:textId="77777777" w:rsidR="00C26B91" w:rsidRPr="00691748" w:rsidRDefault="00C26B91" w:rsidP="00C26B91">
      <w:pPr>
        <w:jc w:val="both"/>
        <w:rPr>
          <w:b/>
          <w:bCs/>
        </w:rPr>
      </w:pPr>
    </w:p>
    <w:p w14:paraId="3B40BDAD" w14:textId="77777777" w:rsidR="00C26B91" w:rsidRPr="00691748" w:rsidRDefault="00C26B91" w:rsidP="00C26B91">
      <w:pPr>
        <w:jc w:val="both"/>
        <w:rPr>
          <w:b/>
          <w:bCs/>
        </w:rPr>
      </w:pPr>
      <w:r w:rsidRPr="00691748">
        <w:rPr>
          <w:b/>
          <w:bCs/>
        </w:rPr>
        <w:t>3.3 Theoretical framework</w:t>
      </w:r>
    </w:p>
    <w:p w14:paraId="3DB96ECA" w14:textId="77777777" w:rsidR="00C26B91" w:rsidRPr="00691748" w:rsidRDefault="00C26B91" w:rsidP="00C26B91">
      <w:pPr>
        <w:jc w:val="both"/>
      </w:pPr>
      <w:r w:rsidRPr="00691748">
        <w:tab/>
        <w:t xml:space="preserve">Variables of the study contains dependent and independent variable. The study used pre-specified method for the selection </w:t>
      </w:r>
      <w:proofErr w:type="spellStart"/>
      <w:r w:rsidRPr="00691748">
        <w:t>ofvariables</w:t>
      </w:r>
      <w:proofErr w:type="spellEnd"/>
      <w:r w:rsidRPr="00691748">
        <w:t>. The study used the Stock returns are as dependent variable. From the share price of the firm the Stock returns are calculated. Rate of a stock salable at stock market is known as stock price.</w:t>
      </w:r>
    </w:p>
    <w:p w14:paraId="0DDC062A" w14:textId="77777777" w:rsidR="00C26B91" w:rsidRPr="00691748" w:rsidRDefault="00C26B91" w:rsidP="00C26B91">
      <w:pPr>
        <w:jc w:val="both"/>
      </w:pPr>
    </w:p>
    <w:p w14:paraId="4CE5375F" w14:textId="77777777" w:rsidR="00C26B91" w:rsidRPr="00691748" w:rsidRDefault="00C26B91" w:rsidP="00C26B91">
      <w:pPr>
        <w:jc w:val="both"/>
        <w:rPr>
          <w:bCs/>
        </w:rPr>
      </w:pPr>
      <w:r w:rsidRPr="00691748">
        <w:rPr>
          <w:bCs/>
        </w:rPr>
        <w:tab/>
        <w:t>Systematic risk is the only independent variable for the CAPM and inflation, interest rate, oil prices and exchange rate are the independent variables for APT model.</w:t>
      </w:r>
    </w:p>
    <w:p w14:paraId="108A279C" w14:textId="77777777" w:rsidR="00C26B91" w:rsidRPr="00691748" w:rsidRDefault="00C26B91" w:rsidP="00C26B91">
      <w:pPr>
        <w:jc w:val="both"/>
        <w:rPr>
          <w:bCs/>
        </w:rPr>
      </w:pPr>
    </w:p>
    <w:p w14:paraId="1F1E34F6" w14:textId="77777777" w:rsidR="00C26B91" w:rsidRPr="00691748" w:rsidRDefault="00C26B91" w:rsidP="00C26B91">
      <w:pPr>
        <w:jc w:val="both"/>
        <w:rPr>
          <w:bCs/>
        </w:rPr>
      </w:pPr>
      <w:r w:rsidRPr="00691748">
        <w:rPr>
          <w:bCs/>
        </w:rPr>
        <w:t xml:space="preserve">Consumer Price Index (CPI) is used as a proxy in this study for inflation rate. CPI is a wide basic measure to </w:t>
      </w:r>
      <w:proofErr w:type="spellStart"/>
      <w:r w:rsidRPr="00691748">
        <w:rPr>
          <w:bCs/>
        </w:rPr>
        <w:t>computeusualvariation</w:t>
      </w:r>
      <w:proofErr w:type="spellEnd"/>
      <w:r w:rsidRPr="00691748">
        <w:rPr>
          <w:bCs/>
        </w:rPr>
        <w:t xml:space="preserve"> in prices of goods and services throughout a particular time period. It is assumed that arise in inflation is inversely associated to security prices because Inflation is at </w:t>
      </w:r>
      <w:proofErr w:type="spellStart"/>
      <w:r w:rsidRPr="00691748">
        <w:rPr>
          <w:bCs/>
        </w:rPr>
        <w:t>lastturned</w:t>
      </w:r>
      <w:proofErr w:type="spellEnd"/>
      <w:r w:rsidRPr="00691748">
        <w:rPr>
          <w:bCs/>
        </w:rPr>
        <w:t xml:space="preserve"> into nominal interest rate </w:t>
      </w:r>
      <w:proofErr w:type="spellStart"/>
      <w:r w:rsidRPr="00691748">
        <w:rPr>
          <w:bCs/>
        </w:rPr>
        <w:t>andchange</w:t>
      </w:r>
      <w:proofErr w:type="spellEnd"/>
      <w:r w:rsidRPr="00691748">
        <w:rPr>
          <w:bCs/>
        </w:rPr>
        <w:t xml:space="preserve"> in nominal interest rates caused change in </w:t>
      </w:r>
      <w:r w:rsidRPr="00691748">
        <w:rPr>
          <w:bCs/>
        </w:rPr>
        <w:lastRenderedPageBreak/>
        <w:t xml:space="preserve">discount rate so discount rate </w:t>
      </w:r>
      <w:proofErr w:type="gramStart"/>
      <w:r w:rsidRPr="00691748">
        <w:rPr>
          <w:bCs/>
        </w:rPr>
        <w:t>increase</w:t>
      </w:r>
      <w:proofErr w:type="gramEnd"/>
      <w:r w:rsidRPr="00691748">
        <w:rPr>
          <w:bCs/>
        </w:rPr>
        <w:t xml:space="preserve"> due to increase in inflation rate and increase in discount </w:t>
      </w:r>
      <w:proofErr w:type="spellStart"/>
      <w:r w:rsidRPr="00691748">
        <w:rPr>
          <w:bCs/>
        </w:rPr>
        <w:t>rateleads</w:t>
      </w:r>
      <w:proofErr w:type="spellEnd"/>
      <w:r w:rsidRPr="00691748">
        <w:rPr>
          <w:bCs/>
        </w:rPr>
        <w:t xml:space="preserve"> </w:t>
      </w:r>
      <w:proofErr w:type="spellStart"/>
      <w:r w:rsidRPr="00691748">
        <w:rPr>
          <w:bCs/>
        </w:rPr>
        <w:t>todecreasethe</w:t>
      </w:r>
      <w:proofErr w:type="spellEnd"/>
      <w:r w:rsidRPr="00691748">
        <w:rPr>
          <w:bCs/>
        </w:rPr>
        <w:t xml:space="preserve"> cash flow’s present value (</w:t>
      </w:r>
      <w:proofErr w:type="spellStart"/>
      <w:r w:rsidRPr="00691748">
        <w:rPr>
          <w:bCs/>
        </w:rPr>
        <w:t>Jecheche</w:t>
      </w:r>
      <w:proofErr w:type="spellEnd"/>
      <w:r w:rsidRPr="00691748">
        <w:rPr>
          <w:bCs/>
        </w:rPr>
        <w:t>, 2010). The purchasing power of money decreased due to inflation, and due to which the investors demand high rate of return, and the prices decreased with increase in required rate of return (Iqbal et al, 2010).</w:t>
      </w:r>
    </w:p>
    <w:p w14:paraId="64E27810" w14:textId="77777777" w:rsidR="00C26B91" w:rsidRPr="00691748" w:rsidRDefault="00C26B91" w:rsidP="00C26B91">
      <w:pPr>
        <w:jc w:val="both"/>
        <w:rPr>
          <w:b/>
        </w:rPr>
      </w:pPr>
    </w:p>
    <w:p w14:paraId="5F24EE94" w14:textId="77777777" w:rsidR="00C26B91" w:rsidRPr="00691748" w:rsidRDefault="00C26B91" w:rsidP="00C26B91">
      <w:pPr>
        <w:jc w:val="both"/>
        <w:rPr>
          <w:bCs/>
        </w:rPr>
      </w:pPr>
      <w:r w:rsidRPr="00691748">
        <w:tab/>
        <w:t>Exchange rate is a rate at which one currency exchanged with another currency. Nominal effective exchange rate (Pak Rupee/U.</w:t>
      </w:r>
      <w:proofErr w:type="gramStart"/>
      <w:r w:rsidRPr="00691748">
        <w:t>S.D</w:t>
      </w:r>
      <w:proofErr w:type="gramEnd"/>
      <w:r w:rsidRPr="00691748">
        <w:t xml:space="preserve">) is taken in this </w:t>
      </w:r>
      <w:proofErr w:type="spellStart"/>
      <w:proofErr w:type="gramStart"/>
      <w:r w:rsidRPr="00691748">
        <w:t>study.</w:t>
      </w:r>
      <w:r w:rsidRPr="00691748">
        <w:rPr>
          <w:bCs/>
        </w:rPr>
        <w:t>This</w:t>
      </w:r>
      <w:proofErr w:type="spellEnd"/>
      <w:proofErr w:type="gramEnd"/>
      <w:r w:rsidRPr="00691748">
        <w:rPr>
          <w:bCs/>
        </w:rPr>
        <w:t xml:space="preserve"> is assumed that decrease in the home currency is </w:t>
      </w:r>
      <w:proofErr w:type="spellStart"/>
      <w:r w:rsidRPr="00691748">
        <w:rPr>
          <w:bCs/>
        </w:rPr>
        <w:t>inverselyassociated</w:t>
      </w:r>
      <w:proofErr w:type="spellEnd"/>
      <w:r w:rsidRPr="00691748">
        <w:rPr>
          <w:bCs/>
        </w:rPr>
        <w:t xml:space="preserve"> to share prices (Jecheche,2010). </w:t>
      </w:r>
      <w:r w:rsidRPr="00691748">
        <w:t xml:space="preserve"> Pan et al. (2007) studied exchange rate and its dynamic relationship with share prices in seven East Asian Countries and </w:t>
      </w:r>
      <w:proofErr w:type="spellStart"/>
      <w:r w:rsidRPr="00691748">
        <w:t>concludethat</w:t>
      </w:r>
      <w:proofErr w:type="spellEnd"/>
      <w:r w:rsidRPr="00691748">
        <w:t xml:space="preserve"> </w:t>
      </w:r>
      <w:proofErr w:type="spellStart"/>
      <w:r w:rsidRPr="00691748">
        <w:t>relationshipof</w:t>
      </w:r>
      <w:proofErr w:type="spellEnd"/>
      <w:r w:rsidRPr="00691748">
        <w:t xml:space="preserve"> exchange rate and share prices varies across economies of different countries. </w:t>
      </w:r>
      <w:proofErr w:type="gramStart"/>
      <w:r w:rsidRPr="00691748">
        <w:t>So</w:t>
      </w:r>
      <w:proofErr w:type="gramEnd"/>
      <w:r w:rsidRPr="00691748">
        <w:t xml:space="preserve"> there may be both possibility of either exchange rate directly or </w:t>
      </w:r>
      <w:proofErr w:type="spellStart"/>
      <w:r w:rsidRPr="00691748">
        <w:t>inverselyrelated</w:t>
      </w:r>
      <w:proofErr w:type="spellEnd"/>
      <w:r w:rsidRPr="00691748">
        <w:t xml:space="preserve"> with stock </w:t>
      </w:r>
      <w:proofErr w:type="spellStart"/>
      <w:proofErr w:type="gramStart"/>
      <w:r w:rsidRPr="00691748">
        <w:t>prices.</w:t>
      </w:r>
      <w:r w:rsidRPr="00691748">
        <w:rPr>
          <w:bCs/>
        </w:rPr>
        <w:t>Oil</w:t>
      </w:r>
      <w:proofErr w:type="spellEnd"/>
      <w:proofErr w:type="gramEnd"/>
      <w:r w:rsidRPr="00691748">
        <w:rPr>
          <w:bCs/>
        </w:rPr>
        <w:t xml:space="preserve"> prices are positively related with share prices if oil prices increase stock prices also increase (Iqbal et al, 1012</w:t>
      </w:r>
      <w:proofErr w:type="gramStart"/>
      <w:r w:rsidRPr="00691748">
        <w:rPr>
          <w:bCs/>
        </w:rPr>
        <w:t>).</w:t>
      </w:r>
      <w:r w:rsidRPr="00691748">
        <w:t>Ataullah</w:t>
      </w:r>
      <w:proofErr w:type="gramEnd"/>
      <w:r w:rsidRPr="00691748">
        <w:t xml:space="preserve"> (2001) suggested that oil prices cause positive change in the movement of stock prices. The oil price has no significant effect on stock prices (Dash &amp; Rishika, 2011</w:t>
      </w:r>
      <w:proofErr w:type="gramStart"/>
      <w:r w:rsidRPr="00691748">
        <w:t>).</w:t>
      </w:r>
      <w:r w:rsidRPr="00691748">
        <w:rPr>
          <w:bCs/>
        </w:rPr>
        <w:t>Six</w:t>
      </w:r>
      <w:proofErr w:type="gramEnd"/>
      <w:r w:rsidRPr="00691748">
        <w:t xml:space="preserve"> month T-bills rate is used as proxy of interest rate. As investors </w:t>
      </w:r>
      <w:proofErr w:type="spellStart"/>
      <w:r w:rsidRPr="00691748">
        <w:t>arevery</w:t>
      </w:r>
      <w:proofErr w:type="spellEnd"/>
      <w:r w:rsidRPr="00691748">
        <w:t xml:space="preserve"> sensitive about profit and where the signals turn into </w:t>
      </w:r>
      <w:proofErr w:type="gramStart"/>
      <w:r w:rsidRPr="00691748">
        <w:t>red</w:t>
      </w:r>
      <w:proofErr w:type="gramEnd"/>
      <w:r w:rsidRPr="00691748">
        <w:t xml:space="preserve"> they definitely sell the shares. And this sensitivity of the investors towards profit effects the relationship of the stock prices and interest rate, so the more volatility will be there in the market if the behaviors of the investors are more sensitive. Plethora (</w:t>
      </w:r>
      <w:proofErr w:type="gramStart"/>
      <w:r w:rsidRPr="00691748">
        <w:t>2002)has</w:t>
      </w:r>
      <w:proofErr w:type="gramEnd"/>
      <w:r w:rsidRPr="00691748">
        <w:t xml:space="preserve"> tested interest rate sensitivity to stock market returns, and concluded an inverse relationship between interest rate and stock returns. Nguyen (2010) studies Thailand market and found </w:t>
      </w:r>
      <w:proofErr w:type="spellStart"/>
      <w:r w:rsidRPr="00691748">
        <w:t>that</w:t>
      </w:r>
      <w:r w:rsidRPr="00691748">
        <w:rPr>
          <w:bCs/>
        </w:rPr>
        <w:t>Interest</w:t>
      </w:r>
      <w:proofErr w:type="spellEnd"/>
      <w:r w:rsidRPr="00691748">
        <w:rPr>
          <w:bCs/>
        </w:rPr>
        <w:t xml:space="preserve"> rate has </w:t>
      </w:r>
      <w:proofErr w:type="spellStart"/>
      <w:r w:rsidRPr="00691748">
        <w:rPr>
          <w:bCs/>
        </w:rPr>
        <w:t>aninverse</w:t>
      </w:r>
      <w:proofErr w:type="spellEnd"/>
      <w:r w:rsidRPr="00691748">
        <w:rPr>
          <w:bCs/>
        </w:rPr>
        <w:t xml:space="preserve"> relationship with stock prices</w:t>
      </w:r>
      <w:r w:rsidRPr="00691748">
        <w:t xml:space="preserve">. </w:t>
      </w:r>
    </w:p>
    <w:p w14:paraId="26E18BC5" w14:textId="77777777" w:rsidR="00C26B91" w:rsidRPr="00691748" w:rsidRDefault="00C26B91" w:rsidP="00C26B91">
      <w:pPr>
        <w:jc w:val="both"/>
        <w:rPr>
          <w:bCs/>
        </w:rPr>
      </w:pPr>
    </w:p>
    <w:p w14:paraId="35BBBC8A" w14:textId="77777777" w:rsidR="00C26B91" w:rsidRPr="00691748" w:rsidRDefault="00C26B91" w:rsidP="00C26B91">
      <w:pPr>
        <w:jc w:val="both"/>
        <w:rPr>
          <w:b/>
          <w:bCs/>
          <w:i/>
        </w:rPr>
      </w:pPr>
      <w:r w:rsidRPr="00691748">
        <w:tab/>
        <w:t xml:space="preserve">KSE-100 index is used as proxy of market risk. KSE-100 index contains top 100 firms which are selected on the bases of their market capitalization. Beta is the measure of systematic risk and has </w:t>
      </w:r>
      <w:proofErr w:type="spellStart"/>
      <w:r w:rsidRPr="00691748">
        <w:t>alinear</w:t>
      </w:r>
      <w:proofErr w:type="spellEnd"/>
      <w:r w:rsidRPr="00691748">
        <w:t xml:space="preserve"> relationship with return (Horn, 1993). High risk is associated with high return (Basu, 1977, </w:t>
      </w:r>
      <w:proofErr w:type="spellStart"/>
      <w:r w:rsidRPr="00691748">
        <w:t>Reiganum</w:t>
      </w:r>
      <w:proofErr w:type="spellEnd"/>
      <w:r w:rsidRPr="00691748">
        <w:t xml:space="preserve">, 1981 and Gibbons, 1982). Fama and MacBeth (1973) suggested the existence of a significant linear positive relation between realized return and systematic risk as measured by β. But on the other side some empirical results showed that high risk is not associated with high return (Michailidis et al. 2006, Hanif, 2009). Mollah and Jamil (2003) suggested </w:t>
      </w:r>
      <w:proofErr w:type="spellStart"/>
      <w:r w:rsidRPr="00691748">
        <w:t>thatrisk</w:t>
      </w:r>
      <w:proofErr w:type="spellEnd"/>
      <w:r w:rsidRPr="00691748">
        <w:t xml:space="preserve">-return relationship is </w:t>
      </w:r>
      <w:proofErr w:type="spellStart"/>
      <w:r w:rsidRPr="00691748">
        <w:t>notlinear</w:t>
      </w:r>
      <w:proofErr w:type="spellEnd"/>
      <w:r w:rsidRPr="00691748">
        <w:t xml:space="preserve"> perhaps due to high volatility.</w:t>
      </w:r>
    </w:p>
    <w:p w14:paraId="7E3CC7E8" w14:textId="77777777" w:rsidR="00C26B91" w:rsidRDefault="00C26B91" w:rsidP="00C26B91">
      <w:pPr>
        <w:jc w:val="both"/>
        <w:rPr>
          <w:b/>
          <w:bCs/>
        </w:rPr>
      </w:pPr>
    </w:p>
    <w:p w14:paraId="7CCDFDF2" w14:textId="77777777" w:rsidR="00C26B91" w:rsidRPr="00691748" w:rsidRDefault="00C26B91" w:rsidP="00C26B91">
      <w:pPr>
        <w:jc w:val="both"/>
        <w:rPr>
          <w:b/>
          <w:bCs/>
        </w:rPr>
      </w:pPr>
      <w:r w:rsidRPr="00691748">
        <w:rPr>
          <w:b/>
          <w:bCs/>
        </w:rPr>
        <w:t>3.4Statistical tools and econometric models</w:t>
      </w:r>
    </w:p>
    <w:p w14:paraId="0594380F" w14:textId="77777777" w:rsidR="00C26B91" w:rsidRPr="00691748" w:rsidRDefault="00C26B91" w:rsidP="00C26B91">
      <w:pPr>
        <w:jc w:val="both"/>
      </w:pPr>
      <w:r w:rsidRPr="00691748">
        <w:tab/>
        <w:t>This section elaborates the proper statistical/econometric/financial models which are being used to forward the study from data towards inferences. The detail of methodology is given as follows.</w:t>
      </w:r>
    </w:p>
    <w:p w14:paraId="223756C4" w14:textId="77777777" w:rsidR="00C26B91" w:rsidRPr="00691748" w:rsidRDefault="00C26B91" w:rsidP="00C26B91">
      <w:pPr>
        <w:jc w:val="both"/>
        <w:rPr>
          <w:b/>
          <w:bCs/>
        </w:rPr>
      </w:pPr>
      <w:r w:rsidRPr="00691748">
        <w:rPr>
          <w:b/>
        </w:rPr>
        <w:t>3.4.1 Descriptive Statistics</w:t>
      </w:r>
    </w:p>
    <w:p w14:paraId="40086356" w14:textId="77777777" w:rsidR="00C26B91" w:rsidRPr="00691748" w:rsidRDefault="00C26B91" w:rsidP="00C26B91">
      <w:pPr>
        <w:jc w:val="both"/>
      </w:pPr>
      <w:r w:rsidRPr="00691748">
        <w:tab/>
        <w:t xml:space="preserve">Descriptive Statics </w:t>
      </w:r>
      <w:r w:rsidRPr="00691748">
        <w:rPr>
          <w:bCs/>
        </w:rPr>
        <w:t xml:space="preserve">has been used to find the maximum, minimum, standard deviation, mean and normally distribution of the data of all the variables of the study. Normal distribution of data shows the sensitivity of the variables towards the periodic changes and speculation. When the data is not normally distributed it means that the data is sensitive towards periodic changes and speculations which create the chances of arbitrage and the investors have the chance to earn above the normal profit. But the assumption of the APT is that there should not be arbitrage in the market and the investors can earn only normal profit. Jarque </w:t>
      </w:r>
      <w:proofErr w:type="spellStart"/>
      <w:r w:rsidRPr="00691748">
        <w:rPr>
          <w:bCs/>
        </w:rPr>
        <w:t>bera</w:t>
      </w:r>
      <w:proofErr w:type="spellEnd"/>
      <w:r w:rsidRPr="00691748">
        <w:rPr>
          <w:bCs/>
        </w:rPr>
        <w:t xml:space="preserve"> test is used to test the normality of data.</w:t>
      </w:r>
    </w:p>
    <w:p w14:paraId="1CD7B4AF" w14:textId="77777777" w:rsidR="00C26B91" w:rsidRPr="00691748" w:rsidRDefault="00C26B91" w:rsidP="00C26B91">
      <w:pPr>
        <w:jc w:val="both"/>
        <w:rPr>
          <w:b/>
          <w:color w:val="000000"/>
        </w:rPr>
      </w:pPr>
    </w:p>
    <w:p w14:paraId="1A3B5A45" w14:textId="77777777" w:rsidR="00C26B91" w:rsidRPr="00691748" w:rsidRDefault="00C26B91" w:rsidP="00C26B91">
      <w:pPr>
        <w:jc w:val="both"/>
        <w:rPr>
          <w:b/>
          <w:color w:val="000000"/>
        </w:rPr>
      </w:pPr>
      <w:r w:rsidRPr="00691748">
        <w:rPr>
          <w:b/>
          <w:color w:val="000000"/>
        </w:rPr>
        <w:t>3.4.2 Fama-</w:t>
      </w:r>
      <w:proofErr w:type="spellStart"/>
      <w:r w:rsidRPr="00691748">
        <w:rPr>
          <w:b/>
          <w:color w:val="000000"/>
        </w:rPr>
        <w:t>Mcbeth</w:t>
      </w:r>
      <w:proofErr w:type="spellEnd"/>
      <w:r w:rsidRPr="00691748">
        <w:rPr>
          <w:b/>
          <w:color w:val="000000"/>
        </w:rPr>
        <w:t xml:space="preserve"> two pass regression</w:t>
      </w:r>
      <w:r w:rsidRPr="00691748">
        <w:rPr>
          <w:b/>
          <w:color w:val="000000"/>
        </w:rPr>
        <w:tab/>
      </w:r>
    </w:p>
    <w:p w14:paraId="7202C17C" w14:textId="77777777" w:rsidR="00C26B91" w:rsidRPr="00691748" w:rsidRDefault="00C26B91" w:rsidP="00C26B91">
      <w:pPr>
        <w:jc w:val="both"/>
        <w:rPr>
          <w:color w:val="000000"/>
        </w:rPr>
      </w:pPr>
      <w:r w:rsidRPr="00691748">
        <w:rPr>
          <w:color w:val="000000"/>
        </w:rPr>
        <w:tab/>
        <w:t xml:space="preserve">After the test statistics the methodology is following the next step in order to test the asset pricing models. When testing asset pricing models related to risk premium on asset to their betas, the primary question of interest is whether the beta risk of particular factor is priced. Fama and </w:t>
      </w:r>
      <w:proofErr w:type="gramStart"/>
      <w:r w:rsidRPr="00691748">
        <w:rPr>
          <w:color w:val="000000"/>
        </w:rPr>
        <w:t>McBeth(1973)develop</w:t>
      </w:r>
      <w:proofErr w:type="gramEnd"/>
      <w:r w:rsidRPr="00691748">
        <w:rPr>
          <w:color w:val="000000"/>
        </w:rPr>
        <w:t xml:space="preserve"> a </w:t>
      </w:r>
      <w:proofErr w:type="gramStart"/>
      <w:r w:rsidRPr="00691748">
        <w:rPr>
          <w:color w:val="000000"/>
        </w:rPr>
        <w:t>two pass</w:t>
      </w:r>
      <w:proofErr w:type="gramEnd"/>
      <w:r w:rsidRPr="00691748">
        <w:rPr>
          <w:color w:val="000000"/>
        </w:rPr>
        <w:t xml:space="preserve"> methodology in which the beta of each asset with respect to a factor is estimated in a first pass time series regression and estimated betas are then used in second pass cross sectional regression to estimate the risk premium of the factor. According to Blum (1968) testing two-parameter models immediately presents an unavoidable errors-in-the variables </w:t>
      </w:r>
      <w:proofErr w:type="spellStart"/>
      <w:r w:rsidRPr="00691748">
        <w:rPr>
          <w:color w:val="000000"/>
        </w:rPr>
        <w:t>problem.It</w:t>
      </w:r>
      <w:proofErr w:type="spellEnd"/>
      <w:r w:rsidRPr="00691748">
        <w:rPr>
          <w:color w:val="000000"/>
        </w:rPr>
        <w:t xml:space="preserve"> is important to note that portfolios (rather than individual assets) are used for the reason of making the analysis statistically </w:t>
      </w:r>
      <w:proofErr w:type="spellStart"/>
      <w:r w:rsidRPr="00691748">
        <w:rPr>
          <w:color w:val="000000"/>
        </w:rPr>
        <w:t>feasible.Fama</w:t>
      </w:r>
      <w:proofErr w:type="spellEnd"/>
      <w:r w:rsidRPr="00691748">
        <w:rPr>
          <w:color w:val="000000"/>
        </w:rPr>
        <w:t xml:space="preserve"> McBeth regression is used to attenuate the problem of errors-in-variables (EIV) for two parameter models (Campbell, Lo and </w:t>
      </w:r>
      <w:proofErr w:type="spellStart"/>
      <w:r w:rsidRPr="00691748">
        <w:rPr>
          <w:color w:val="000000"/>
        </w:rPr>
        <w:t>MacKinlay</w:t>
      </w:r>
      <w:proofErr w:type="spellEnd"/>
      <w:r w:rsidRPr="00691748">
        <w:rPr>
          <w:color w:val="000000"/>
        </w:rPr>
        <w:t>, 1997).If the errors are in the β (beta)of individual security are not perfectly positively correlated, the β of portfolios can be much more precise estimates of the true β (Blum, 1968).</w:t>
      </w:r>
    </w:p>
    <w:p w14:paraId="6EC5A9A1" w14:textId="77777777" w:rsidR="00C26B91" w:rsidRPr="00691748" w:rsidRDefault="00C26B91" w:rsidP="00C26B91">
      <w:pPr>
        <w:jc w:val="both"/>
        <w:rPr>
          <w:rFonts w:eastAsia="Times New Roman"/>
          <w:color w:val="000000"/>
          <w:lang w:eastAsia="en-GB"/>
        </w:rPr>
      </w:pPr>
      <w:r w:rsidRPr="00691748">
        <w:rPr>
          <w:color w:val="000000"/>
        </w:rPr>
        <w:tab/>
        <w:t xml:space="preserve">The study </w:t>
      </w:r>
      <w:proofErr w:type="gramStart"/>
      <w:r w:rsidRPr="00691748">
        <w:rPr>
          <w:color w:val="000000"/>
        </w:rPr>
        <w:t>follow</w:t>
      </w:r>
      <w:proofErr w:type="gramEnd"/>
      <w:r w:rsidRPr="00691748">
        <w:rPr>
          <w:color w:val="000000"/>
        </w:rPr>
        <w:t xml:space="preserve"> Fama and McBeth two pass </w:t>
      </w:r>
      <w:proofErr w:type="spellStart"/>
      <w:r w:rsidRPr="00691748">
        <w:rPr>
          <w:color w:val="000000"/>
        </w:rPr>
        <w:t>regressionto</w:t>
      </w:r>
      <w:proofErr w:type="spellEnd"/>
      <w:r w:rsidRPr="00691748">
        <w:rPr>
          <w:color w:val="000000"/>
        </w:rPr>
        <w:t xml:space="preserve"> test these asset pricing </w:t>
      </w:r>
      <w:proofErr w:type="spellStart"/>
      <w:proofErr w:type="gramStart"/>
      <w:r w:rsidRPr="00691748">
        <w:rPr>
          <w:color w:val="000000"/>
        </w:rPr>
        <w:t>models.The</w:t>
      </w:r>
      <w:proofErr w:type="spellEnd"/>
      <w:proofErr w:type="gramEnd"/>
      <w:r w:rsidRPr="00691748">
        <w:rPr>
          <w:color w:val="000000"/>
        </w:rPr>
        <w:t xml:space="preserve"> Durbin Watson is used to check serial correlation and measures the linear association between adjacent residuals from a regression model. If there is no serial correlation, the DW statistic will be around 2. The DW statistic will fall if there is positive serial correlation (in worst case, it will be near zero). If there is a negative correlation, </w:t>
      </w:r>
      <w:proofErr w:type="spellStart"/>
      <w:r w:rsidRPr="00691748">
        <w:rPr>
          <w:color w:val="000000"/>
        </w:rPr>
        <w:t>thestatistic</w:t>
      </w:r>
      <w:proofErr w:type="spellEnd"/>
      <w:r w:rsidRPr="00691748">
        <w:rPr>
          <w:color w:val="000000"/>
        </w:rPr>
        <w:t xml:space="preserve"> will lie somewhere between 2 and 4. Usually the limit for non-serial correlation is considered to be DW is from 1.8 to 2.2. A very strong positive serial correlation is considered at DW lower than 1.5 (</w:t>
      </w:r>
      <w:r w:rsidRPr="00691748">
        <w:rPr>
          <w:lang w:val="en-GB"/>
        </w:rPr>
        <w:t>Richardson and smith, 1993)</w:t>
      </w:r>
      <w:r w:rsidRPr="00691748">
        <w:rPr>
          <w:color w:val="000000"/>
        </w:rPr>
        <w:t>.</w:t>
      </w:r>
    </w:p>
    <w:p w14:paraId="300981CC" w14:textId="77777777" w:rsidR="00C26B91" w:rsidRPr="00691748" w:rsidRDefault="00C26B91" w:rsidP="00C26B91">
      <w:pPr>
        <w:jc w:val="both"/>
        <w:rPr>
          <w:rFonts w:eastAsia="Times New Roman"/>
          <w:color w:val="000000"/>
          <w:lang w:eastAsia="en-GB"/>
        </w:rPr>
      </w:pPr>
    </w:p>
    <w:p w14:paraId="77C52FC5" w14:textId="77777777" w:rsidR="00C26B91" w:rsidRPr="00691748" w:rsidRDefault="00C26B91" w:rsidP="00C26B91">
      <w:pPr>
        <w:jc w:val="both"/>
        <w:rPr>
          <w:rFonts w:eastAsia="Times New Roman"/>
          <w:color w:val="000000"/>
          <w:lang w:eastAsia="en-GB"/>
        </w:rPr>
      </w:pPr>
      <w:r w:rsidRPr="00691748">
        <w:rPr>
          <w:rFonts w:eastAsia="Times New Roman"/>
          <w:color w:val="000000"/>
          <w:lang w:eastAsia="en-GB"/>
        </w:rPr>
        <w:tab/>
        <w:t xml:space="preserve">According to </w:t>
      </w:r>
      <w:r w:rsidRPr="00691748">
        <w:rPr>
          <w:lang w:val="en-GB"/>
        </w:rPr>
        <w:t xml:space="preserve">Richardson and </w:t>
      </w:r>
      <w:proofErr w:type="gramStart"/>
      <w:r w:rsidRPr="00691748">
        <w:rPr>
          <w:lang w:val="en-GB"/>
        </w:rPr>
        <w:t>smith(</w:t>
      </w:r>
      <w:proofErr w:type="gramEnd"/>
      <w:r w:rsidRPr="00691748">
        <w:rPr>
          <w:lang w:val="en-GB"/>
        </w:rPr>
        <w:t xml:space="preserve">1993) </w:t>
      </w:r>
      <w:r w:rsidRPr="00691748">
        <w:rPr>
          <w:rFonts w:eastAsia="Times New Roman"/>
          <w:color w:val="000000"/>
          <w:lang w:eastAsia="en-GB"/>
        </w:rPr>
        <w:t>to make the model more effective and efficient the selection criteria for the shares in the period are: Shares with no missing values in the period, Shares with adjusted R</w:t>
      </w:r>
      <w:r w:rsidRPr="00691748">
        <w:rPr>
          <w:rFonts w:eastAsia="Times New Roman"/>
          <w:color w:val="000000"/>
          <w:vertAlign w:val="superscript"/>
          <w:lang w:eastAsia="en-GB"/>
        </w:rPr>
        <w:t xml:space="preserve">2 </w:t>
      </w:r>
      <w:r w:rsidRPr="00691748">
        <w:rPr>
          <w:rFonts w:eastAsia="Times New Roman"/>
          <w:color w:val="000000"/>
          <w:lang w:eastAsia="en-GB"/>
        </w:rPr>
        <w:t xml:space="preserve">&lt; 0 or F significant (p-value) &gt;0.05of the first pass regression of the excess returns on the market risk premium are excluded. And Shares are grouped by alphabetic order into group of 30 individual securities (Roll and Ross, 1980). </w:t>
      </w:r>
    </w:p>
    <w:p w14:paraId="62C68F67" w14:textId="77777777" w:rsidR="00C26B91" w:rsidRPr="00691748" w:rsidRDefault="00C26B91" w:rsidP="00C26B91">
      <w:pPr>
        <w:jc w:val="both"/>
        <w:rPr>
          <w:b/>
          <w:bCs/>
        </w:rPr>
      </w:pPr>
    </w:p>
    <w:p w14:paraId="76783F8D" w14:textId="77777777" w:rsidR="00C26B91" w:rsidRPr="00691748" w:rsidRDefault="00C26B91" w:rsidP="00C26B91">
      <w:pPr>
        <w:jc w:val="both"/>
        <w:rPr>
          <w:b/>
          <w:bCs/>
        </w:rPr>
      </w:pPr>
      <w:r w:rsidRPr="00691748">
        <w:rPr>
          <w:b/>
          <w:bCs/>
        </w:rPr>
        <w:t>3.4.2.1 Model for CAPM</w:t>
      </w:r>
    </w:p>
    <w:p w14:paraId="7E2AFBF4" w14:textId="77777777" w:rsidR="00C26B91" w:rsidRPr="00691748" w:rsidRDefault="00C26B91" w:rsidP="00C26B91">
      <w:pPr>
        <w:jc w:val="both"/>
      </w:pPr>
      <w:r w:rsidRPr="00691748">
        <w:t>In first pass the linear regression is used to estimate beta which is the systematic risk.</w:t>
      </w:r>
    </w:p>
    <w:p w14:paraId="5210CA08" w14:textId="77777777" w:rsidR="00C26B91" w:rsidRPr="00691748" w:rsidRDefault="00000000" w:rsidP="00C26B91">
      <w:pPr>
        <w:jc w:val="both"/>
      </w:pPr>
      <m:oMathPara>
        <m:oMath>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f</m:t>
              </m:r>
            </m:sub>
          </m:sSub>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R</m:t>
                  </m:r>
                </m:e>
                <m:sub>
                  <m:r>
                    <w:rPr>
                      <w:rFonts w:ascii="Cambria Math" w:hAnsi="Cambria Math"/>
                    </w:rPr>
                    <m:t>m</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f</m:t>
                  </m:r>
                </m:sub>
              </m:sSub>
            </m:e>
          </m:d>
          <m:r>
            <w:rPr>
              <w:rFonts w:ascii="Cambria Math" w:hAnsi="Cambria Math"/>
            </w:rPr>
            <m:t>β                     (3.1)</m:t>
          </m:r>
        </m:oMath>
      </m:oMathPara>
    </w:p>
    <w:p w14:paraId="692381A0" w14:textId="77777777" w:rsidR="00C26B91" w:rsidRPr="00691748" w:rsidRDefault="00C26B91" w:rsidP="00C26B91">
      <w:pPr>
        <w:jc w:val="both"/>
      </w:pPr>
      <w:r w:rsidRPr="00691748">
        <w:t xml:space="preserve">Where </w:t>
      </w:r>
      <w:proofErr w:type="spellStart"/>
      <w:r w:rsidRPr="00691748">
        <w:t>R</w:t>
      </w:r>
      <w:r w:rsidRPr="00691748">
        <w:rPr>
          <w:vertAlign w:val="subscript"/>
        </w:rPr>
        <w:t>i</w:t>
      </w:r>
      <w:r w:rsidRPr="00691748">
        <w:t>isMonthly</w:t>
      </w:r>
      <w:proofErr w:type="spellEnd"/>
      <w:r w:rsidRPr="00691748">
        <w:t xml:space="preserve"> return of </w:t>
      </w:r>
      <w:proofErr w:type="spellStart"/>
      <w:r w:rsidRPr="00691748">
        <w:t>thesecurity</w:t>
      </w:r>
      <w:proofErr w:type="spellEnd"/>
      <w:r w:rsidRPr="00691748">
        <w:t>, R</w:t>
      </w:r>
      <w:r w:rsidRPr="00691748">
        <w:rPr>
          <w:vertAlign w:val="subscript"/>
        </w:rPr>
        <w:t>f</w:t>
      </w:r>
      <w:r w:rsidRPr="00691748">
        <w:t xml:space="preserve"> </w:t>
      </w:r>
      <w:proofErr w:type="spellStart"/>
      <w:r w:rsidRPr="00691748">
        <w:t>isMonthly</w:t>
      </w:r>
      <w:proofErr w:type="spellEnd"/>
      <w:r w:rsidRPr="00691748">
        <w:t xml:space="preserve"> risk free rate, R</w:t>
      </w:r>
      <w:r w:rsidRPr="00691748">
        <w:rPr>
          <w:vertAlign w:val="subscript"/>
        </w:rPr>
        <w:t>m</w:t>
      </w:r>
      <w:r w:rsidRPr="00691748">
        <w:t xml:space="preserve"> </w:t>
      </w:r>
      <w:proofErr w:type="spellStart"/>
      <w:r w:rsidRPr="00691748">
        <w:t>isMonthly</w:t>
      </w:r>
      <w:proofErr w:type="spellEnd"/>
      <w:r w:rsidRPr="00691748">
        <w:t xml:space="preserve"> return of market and βis systematic risk (market risk).</w:t>
      </w:r>
    </w:p>
    <w:p w14:paraId="1230C679" w14:textId="77777777" w:rsidR="00C26B91" w:rsidRPr="00691748" w:rsidRDefault="00C26B91" w:rsidP="00C26B91">
      <w:pPr>
        <w:jc w:val="both"/>
      </w:pPr>
      <w:r w:rsidRPr="00691748">
        <w:tab/>
        <w:t>The excess returns R</w:t>
      </w:r>
      <w:r w:rsidRPr="00691748">
        <w:rPr>
          <w:vertAlign w:val="subscript"/>
        </w:rPr>
        <w:t>i</w:t>
      </w:r>
      <w:r w:rsidRPr="00691748">
        <w:t xml:space="preserve"> - R</w:t>
      </w:r>
      <w:r w:rsidRPr="00691748">
        <w:rPr>
          <w:vertAlign w:val="subscript"/>
        </w:rPr>
        <w:t>f</w:t>
      </w:r>
      <w:r w:rsidRPr="00691748">
        <w:t xml:space="preserve"> of each security is estimated from a time series share prices of KSE-100 index listed shares for each period under consideration. And for the same </w:t>
      </w:r>
      <w:proofErr w:type="spellStart"/>
      <w:r w:rsidRPr="00691748">
        <w:t>periodthe</w:t>
      </w:r>
      <w:proofErr w:type="spellEnd"/>
      <w:r w:rsidRPr="00691748">
        <w:t xml:space="preserve"> market Premium R</w:t>
      </w:r>
      <w:r w:rsidRPr="00691748">
        <w:rPr>
          <w:vertAlign w:val="subscript"/>
        </w:rPr>
        <w:t>m</w:t>
      </w:r>
      <w:r w:rsidRPr="00691748">
        <w:t xml:space="preserve"> - </w:t>
      </w:r>
      <w:proofErr w:type="spellStart"/>
      <w:r w:rsidRPr="00691748">
        <w:t>R</w:t>
      </w:r>
      <w:r w:rsidRPr="00691748">
        <w:rPr>
          <w:vertAlign w:val="subscript"/>
        </w:rPr>
        <w:t>f</w:t>
      </w:r>
      <w:r w:rsidRPr="00691748">
        <w:t>also</w:t>
      </w:r>
      <w:proofErr w:type="spellEnd"/>
      <w:r w:rsidRPr="00691748">
        <w:t xml:space="preserve"> estimated. After that regress the excess returns R</w:t>
      </w:r>
      <w:r w:rsidRPr="00691748">
        <w:rPr>
          <w:vertAlign w:val="subscript"/>
        </w:rPr>
        <w:t>i</w:t>
      </w:r>
      <w:r w:rsidRPr="00691748">
        <w:t xml:space="preserve"> - R</w:t>
      </w:r>
      <w:r w:rsidRPr="00691748">
        <w:rPr>
          <w:vertAlign w:val="subscript"/>
        </w:rPr>
        <w:t>f</w:t>
      </w:r>
      <w:r w:rsidRPr="00691748">
        <w:t xml:space="preserve"> on the market premium R</w:t>
      </w:r>
      <w:r w:rsidRPr="00691748">
        <w:rPr>
          <w:vertAlign w:val="subscript"/>
        </w:rPr>
        <w:t>m</w:t>
      </w:r>
      <w:r w:rsidRPr="00691748">
        <w:t xml:space="preserve"> - </w:t>
      </w:r>
      <w:proofErr w:type="spellStart"/>
      <w:r w:rsidRPr="00691748">
        <w:t>R</w:t>
      </w:r>
      <w:r w:rsidRPr="00691748">
        <w:rPr>
          <w:vertAlign w:val="subscript"/>
        </w:rPr>
        <w:t>f</w:t>
      </w:r>
      <w:r w:rsidRPr="00691748">
        <w:t>to</w:t>
      </w:r>
      <w:proofErr w:type="spellEnd"/>
      <w:r w:rsidRPr="00691748">
        <w:t xml:space="preserve"> find the beta coefficient (systematic risk).</w:t>
      </w:r>
    </w:p>
    <w:p w14:paraId="743AC048" w14:textId="77777777" w:rsidR="00C26B91" w:rsidRPr="00691748" w:rsidRDefault="00C26B91" w:rsidP="00C26B91">
      <w:pPr>
        <w:jc w:val="both"/>
      </w:pPr>
      <w:r w:rsidRPr="00691748">
        <w:lastRenderedPageBreak/>
        <w:t xml:space="preserve">Then a </w:t>
      </w:r>
      <w:proofErr w:type="gramStart"/>
      <w:r w:rsidRPr="00691748">
        <w:t>cross sectional</w:t>
      </w:r>
      <w:proofErr w:type="gramEnd"/>
      <w:r w:rsidRPr="00691748">
        <w:t xml:space="preserve"> regression or second pass regression is used on average excess returns of the shares and estimated betas.</w:t>
      </w:r>
    </w:p>
    <w:p w14:paraId="0CEF906E" w14:textId="77777777" w:rsidR="00C26B91" w:rsidRPr="00691748" w:rsidRDefault="00000000" w:rsidP="00C26B91">
      <w:pPr>
        <w:jc w:val="both"/>
      </w:pPr>
      <m:oMathPara>
        <m:oMath>
          <m:sSub>
            <m:sSubPr>
              <m:ctrlPr>
                <w:rPr>
                  <w:rFonts w:ascii="Cambria Math" w:hAnsi="Cambria Math"/>
                  <w:i/>
                </w:rPr>
              </m:ctrlPr>
            </m:sSubPr>
            <m:e>
              <m:r>
                <m:rPr>
                  <m:sty m:val="p"/>
                </m:rPr>
                <w:rPr>
                  <w:rFonts w:ascii="Cambria Math" w:hAnsi="Cambria Math"/>
                </w:rPr>
                <m:t>Ȓ</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1</m:t>
              </m:r>
            </m:sub>
          </m:sSub>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m:t>
          </m:r>
          <m:r>
            <m:rPr>
              <m:sty m:val="p"/>
            </m:rPr>
            <w:rPr>
              <w:rFonts w:ascii="Cambria Math" w:hAnsi="Cambria Math"/>
            </w:rPr>
            <m:t>є                    (3.2)</m:t>
          </m:r>
        </m:oMath>
      </m:oMathPara>
    </w:p>
    <w:p w14:paraId="5D84929E" w14:textId="77777777" w:rsidR="00C26B91" w:rsidRPr="00691748" w:rsidRDefault="00C26B91" w:rsidP="00C26B91">
      <w:pPr>
        <w:jc w:val="both"/>
      </w:pPr>
      <w:r w:rsidRPr="00691748">
        <w:t>Where ƛ</w:t>
      </w:r>
      <w:r w:rsidRPr="00691748">
        <w:rPr>
          <w:vertAlign w:val="subscript"/>
        </w:rPr>
        <w:t>0</w:t>
      </w:r>
      <w:r w:rsidRPr="00691748">
        <w:t xml:space="preserve">= intercept, </w:t>
      </w:r>
      <w:proofErr w:type="spellStart"/>
      <w:r w:rsidRPr="00691748">
        <w:t>Ȓ</w:t>
      </w:r>
      <w:r w:rsidRPr="00691748">
        <w:rPr>
          <w:vertAlign w:val="subscript"/>
        </w:rPr>
        <w:t>I</w:t>
      </w:r>
      <w:r w:rsidRPr="00691748">
        <w:t>is</w:t>
      </w:r>
      <w:proofErr w:type="spellEnd"/>
      <w:r w:rsidRPr="00691748">
        <w:t xml:space="preserve"> average excess returns of security </w:t>
      </w:r>
      <w:proofErr w:type="spellStart"/>
      <w:proofErr w:type="gramStart"/>
      <w:r w:rsidRPr="00691748">
        <w:t>i</w:t>
      </w:r>
      <w:proofErr w:type="spellEnd"/>
      <w:r w:rsidRPr="00691748">
        <w:t>,β</w:t>
      </w:r>
      <w:proofErr w:type="spellStart"/>
      <w:proofErr w:type="gramEnd"/>
      <w:r w:rsidRPr="00691748">
        <w:rPr>
          <w:vertAlign w:val="subscript"/>
        </w:rPr>
        <w:t>I</w:t>
      </w:r>
      <w:r w:rsidRPr="00691748">
        <w:t>isestimated</w:t>
      </w:r>
      <w:proofErr w:type="spellEnd"/>
      <w:r w:rsidRPr="00691748">
        <w:t xml:space="preserve"> be coefficient of security I and Є is error term.</w:t>
      </w:r>
    </w:p>
    <w:p w14:paraId="41F99C41" w14:textId="77777777" w:rsidR="00C26B91" w:rsidRPr="00691748" w:rsidRDefault="00C26B91" w:rsidP="00C26B91">
      <w:pPr>
        <w:jc w:val="both"/>
        <w:rPr>
          <w:b/>
          <w:bCs/>
        </w:rPr>
      </w:pPr>
    </w:p>
    <w:p w14:paraId="1FEC2FD3" w14:textId="77777777" w:rsidR="00C26B91" w:rsidRPr="00691748" w:rsidRDefault="00C26B91" w:rsidP="00C26B91">
      <w:pPr>
        <w:jc w:val="both"/>
        <w:rPr>
          <w:b/>
          <w:bCs/>
        </w:rPr>
      </w:pPr>
    </w:p>
    <w:p w14:paraId="42F36CB2" w14:textId="77777777" w:rsidR="00C26B91" w:rsidRPr="00691748" w:rsidRDefault="00C26B91" w:rsidP="00C26B91">
      <w:pPr>
        <w:jc w:val="both"/>
        <w:rPr>
          <w:b/>
          <w:bCs/>
        </w:rPr>
      </w:pPr>
      <w:r w:rsidRPr="00691748">
        <w:rPr>
          <w:b/>
          <w:bCs/>
        </w:rPr>
        <w:t>3.4.2.2 Model for APT</w:t>
      </w:r>
    </w:p>
    <w:p w14:paraId="0F9DC79A" w14:textId="77777777" w:rsidR="00C26B91" w:rsidRPr="00691748" w:rsidRDefault="00C26B91" w:rsidP="00C26B91">
      <w:pPr>
        <w:jc w:val="both"/>
      </w:pPr>
      <w:r w:rsidRPr="00691748">
        <w:t>In first pass the betas coefficients are computed by using regression.</w:t>
      </w:r>
    </w:p>
    <w:p w14:paraId="32FF17BE" w14:textId="77777777" w:rsidR="00C26B91" w:rsidRPr="00691748" w:rsidRDefault="00000000" w:rsidP="00C26B91">
      <w:pPr>
        <w:jc w:val="both"/>
      </w:pPr>
      <m:oMathPara>
        <m:oMath>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f</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i</m:t>
              </m:r>
            </m:sub>
          </m:sSub>
          <m:sSub>
            <m:sSubPr>
              <m:ctrlPr>
                <w:rPr>
                  <w:rFonts w:ascii="Cambria Math" w:hAnsi="Cambria Math"/>
                  <w:i/>
                </w:rPr>
              </m:ctrlPr>
            </m:sSubPr>
            <m:e>
              <m:r>
                <w:rPr>
                  <w:rFonts w:ascii="Cambria Math" w:hAnsi="Cambria Math"/>
                </w:rPr>
                <m:t>f</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i2</m:t>
              </m:r>
            </m:sub>
          </m:sSub>
          <m:sSub>
            <m:sSubPr>
              <m:ctrlPr>
                <w:rPr>
                  <w:rFonts w:ascii="Cambria Math" w:hAnsi="Cambria Math"/>
                  <w:i/>
                </w:rPr>
              </m:ctrlPr>
            </m:sSubPr>
            <m:e>
              <m:r>
                <w:rPr>
                  <w:rFonts w:ascii="Cambria Math" w:hAnsi="Cambria Math"/>
                </w:rPr>
                <m:t>f</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i3</m:t>
              </m:r>
            </m:sub>
          </m:sSub>
          <m:sSub>
            <m:sSubPr>
              <m:ctrlPr>
                <w:rPr>
                  <w:rFonts w:ascii="Cambria Math" w:hAnsi="Cambria Math"/>
                  <w:i/>
                </w:rPr>
              </m:ctrlPr>
            </m:sSubPr>
            <m:e>
              <m:r>
                <w:rPr>
                  <w:rFonts w:ascii="Cambria Math" w:hAnsi="Cambria Math"/>
                </w:rPr>
                <m:t>f</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i4</m:t>
              </m:r>
            </m:sub>
          </m:sSub>
          <m:sSub>
            <m:sSubPr>
              <m:ctrlPr>
                <w:rPr>
                  <w:rFonts w:ascii="Cambria Math" w:hAnsi="Cambria Math"/>
                  <w:i/>
                </w:rPr>
              </m:ctrlPr>
            </m:sSubPr>
            <m:e>
              <m:r>
                <w:rPr>
                  <w:rFonts w:ascii="Cambria Math" w:hAnsi="Cambria Math"/>
                </w:rPr>
                <m:t>f</m:t>
              </m:r>
            </m:e>
            <m:sub>
              <m:r>
                <w:rPr>
                  <w:rFonts w:ascii="Cambria Math" w:hAnsi="Cambria Math"/>
                </w:rPr>
                <m:t>4</m:t>
              </m:r>
            </m:sub>
          </m:sSub>
          <m:r>
            <w:rPr>
              <w:rFonts w:ascii="Cambria Math" w:hAnsi="Cambria Math"/>
            </w:rPr>
            <m:t>+ϵ                 (3.3)</m:t>
          </m:r>
        </m:oMath>
      </m:oMathPara>
    </w:p>
    <w:p w14:paraId="7F3EA1B8" w14:textId="77777777" w:rsidR="00C26B91" w:rsidRPr="00691748" w:rsidRDefault="00C26B91" w:rsidP="00C26B91">
      <w:pPr>
        <w:jc w:val="both"/>
      </w:pPr>
      <w:r w:rsidRPr="00691748">
        <w:t xml:space="preserve">Where Ri is the monthly return of stock </w:t>
      </w:r>
      <w:proofErr w:type="spellStart"/>
      <w:proofErr w:type="gramStart"/>
      <w:r w:rsidRPr="00691748">
        <w:t>i,R</w:t>
      </w:r>
      <w:r w:rsidRPr="00691748">
        <w:rPr>
          <w:vertAlign w:val="subscript"/>
        </w:rPr>
        <w:t>f</w:t>
      </w:r>
      <w:proofErr w:type="spellEnd"/>
      <w:proofErr w:type="gramEnd"/>
      <w:r w:rsidRPr="00691748">
        <w:t xml:space="preserve"> is risk free rate, β</w:t>
      </w:r>
      <w:proofErr w:type="spellStart"/>
      <w:r w:rsidRPr="00691748">
        <w:rPr>
          <w:vertAlign w:val="subscript"/>
        </w:rPr>
        <w:t>i</w:t>
      </w:r>
      <w:proofErr w:type="spellEnd"/>
      <w:r w:rsidRPr="00691748">
        <w:rPr>
          <w:vertAlign w:val="subscript"/>
        </w:rPr>
        <w:t xml:space="preserve"> </w:t>
      </w:r>
      <w:r w:rsidRPr="00691748">
        <w:t xml:space="preserve">is the sensitivity of stock </w:t>
      </w:r>
      <w:proofErr w:type="spellStart"/>
      <w:r w:rsidRPr="00691748">
        <w:t>i</w:t>
      </w:r>
      <w:proofErr w:type="spellEnd"/>
      <w:r w:rsidRPr="00691748">
        <w:t xml:space="preserve"> with factors and </w:t>
      </w:r>
      <m:oMath>
        <m:r>
          <w:rPr>
            <w:rFonts w:ascii="Cambria Math" w:hAnsi="Cambria Math"/>
          </w:rPr>
          <m:t>ϵ</m:t>
        </m:r>
      </m:oMath>
      <w:r w:rsidRPr="00691748">
        <w:t xml:space="preserve"> is the error term.</w:t>
      </w:r>
    </w:p>
    <w:p w14:paraId="20CF1DE9" w14:textId="77777777" w:rsidR="00C26B91" w:rsidRPr="00691748" w:rsidRDefault="00C26B91" w:rsidP="00C26B91">
      <w:pPr>
        <w:jc w:val="both"/>
      </w:pPr>
      <w:r w:rsidRPr="00691748">
        <w:t xml:space="preserve">Then a </w:t>
      </w:r>
      <w:proofErr w:type="gramStart"/>
      <w:r w:rsidRPr="00691748">
        <w:t>cross sectional</w:t>
      </w:r>
      <w:proofErr w:type="gramEnd"/>
      <w:r w:rsidRPr="00691748">
        <w:t xml:space="preserve"> regression or second pass regression is used on average excess returns of the shares on the factor scores.</w:t>
      </w:r>
    </w:p>
    <w:p w14:paraId="44BB361B" w14:textId="77777777" w:rsidR="00C26B91" w:rsidRPr="00691748" w:rsidRDefault="00C26B91" w:rsidP="00C26B91">
      <w:pPr>
        <w:jc w:val="both"/>
      </w:pPr>
      <m:oMathPara>
        <m:oMath>
          <m:r>
            <m:rPr>
              <m:sty m:val="p"/>
            </m:rPr>
            <w:rPr>
              <w:rFonts w:ascii="Cambria Math" w:hAnsi="Cambria Math"/>
            </w:rPr>
            <m:t>Ȓ=</m:t>
          </m:r>
          <m:sSub>
            <m:sSubPr>
              <m:ctrlPr>
                <w:rPr>
                  <w:rFonts w:ascii="Cambria Math" w:hAnsi="Cambria Math"/>
                </w:rPr>
              </m:ctrlPr>
            </m:sSubPr>
            <m:e>
              <m:r>
                <m:rPr>
                  <m:sty m:val="p"/>
                </m:rPr>
                <w:rPr>
                  <w:rFonts w:ascii="Cambria Math" w:hAnsi="Cambria Math"/>
                </w:rPr>
                <m:t>γ</m:t>
              </m:r>
            </m:e>
            <m:sub>
              <m:r>
                <w:rPr>
                  <w:rFonts w:ascii="Cambria Math" w:hAnsi="Cambria Math"/>
                </w:rPr>
                <m:t>0</m:t>
              </m:r>
            </m:sub>
          </m:sSub>
          <m:r>
            <w:rPr>
              <w:rFonts w:ascii="Cambria Math" w:hAnsi="Cambria Math"/>
            </w:rPr>
            <m:t>+</m:t>
          </m:r>
          <m:sSub>
            <m:sSubPr>
              <m:ctrlPr>
                <w:rPr>
                  <w:rFonts w:ascii="Cambria Math" w:hAnsi="Cambria Math"/>
                  <w:i/>
                </w:rPr>
              </m:ctrlPr>
            </m:sSubPr>
            <m:e>
              <m:r>
                <m:rPr>
                  <m:sty m:val="p"/>
                </m:rPr>
                <w:rPr>
                  <w:rFonts w:ascii="Cambria Math" w:hAnsi="Cambria Math"/>
                </w:rPr>
                <m:t>γ</m:t>
              </m:r>
            </m:e>
            <m:sub>
              <m:r>
                <w:rPr>
                  <w:rFonts w:ascii="Cambria Math" w:hAnsi="Cambria Math"/>
                </w:rPr>
                <m:t>1</m:t>
              </m:r>
            </m:sub>
          </m:sSub>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m:t>
          </m:r>
          <m:sSub>
            <m:sSubPr>
              <m:ctrlPr>
                <w:rPr>
                  <w:rFonts w:ascii="Cambria Math" w:hAnsi="Cambria Math"/>
                  <w:i/>
                </w:rPr>
              </m:ctrlPr>
            </m:sSubPr>
            <m:e>
              <m:r>
                <m:rPr>
                  <m:sty m:val="p"/>
                </m:rPr>
                <w:rPr>
                  <w:rFonts w:ascii="Cambria Math" w:hAnsi="Cambria Math"/>
                </w:rPr>
                <m:t>γ</m:t>
              </m:r>
            </m:e>
            <m:sub>
              <m:r>
                <w:rPr>
                  <w:rFonts w:ascii="Cambria Math" w:hAnsi="Cambria Math"/>
                </w:rPr>
                <m:t>2</m:t>
              </m:r>
            </m:sub>
          </m:sSub>
          <m:sSub>
            <m:sSubPr>
              <m:ctrlPr>
                <w:rPr>
                  <w:rFonts w:ascii="Cambria Math" w:hAnsi="Cambria Math"/>
                  <w:i/>
                </w:rPr>
              </m:ctrlPr>
            </m:sSubPr>
            <m:e>
              <m:r>
                <w:rPr>
                  <w:rFonts w:ascii="Cambria Math" w:hAnsi="Cambria Math"/>
                </w:rPr>
                <m:t>β</m:t>
              </m:r>
            </m:e>
            <m:sub>
              <m:r>
                <w:rPr>
                  <w:rFonts w:ascii="Cambria Math" w:hAnsi="Cambria Math"/>
                </w:rPr>
                <m:t>2</m:t>
              </m:r>
            </m:sub>
          </m:sSub>
          <m:r>
            <w:rPr>
              <w:rFonts w:ascii="Cambria Math" w:hAnsi="Cambria Math"/>
            </w:rPr>
            <m:t>+</m:t>
          </m:r>
          <m:sSub>
            <m:sSubPr>
              <m:ctrlPr>
                <w:rPr>
                  <w:rFonts w:ascii="Cambria Math" w:hAnsi="Cambria Math"/>
                  <w:i/>
                </w:rPr>
              </m:ctrlPr>
            </m:sSubPr>
            <m:e>
              <m:r>
                <m:rPr>
                  <m:sty m:val="p"/>
                </m:rPr>
                <w:rPr>
                  <w:rFonts w:ascii="Cambria Math" w:hAnsi="Cambria Math"/>
                </w:rPr>
                <m:t>γ</m:t>
              </m:r>
            </m:e>
            <m:sub>
              <m:r>
                <w:rPr>
                  <w:rFonts w:ascii="Cambria Math" w:hAnsi="Cambria Math"/>
                </w:rPr>
                <m:t>3</m:t>
              </m:r>
            </m:sub>
          </m:sSub>
          <m:sSub>
            <m:sSubPr>
              <m:ctrlPr>
                <w:rPr>
                  <w:rFonts w:ascii="Cambria Math" w:hAnsi="Cambria Math"/>
                  <w:i/>
                </w:rPr>
              </m:ctrlPr>
            </m:sSubPr>
            <m:e>
              <m:r>
                <w:rPr>
                  <w:rFonts w:ascii="Cambria Math" w:hAnsi="Cambria Math"/>
                </w:rPr>
                <m:t>β</m:t>
              </m:r>
            </m:e>
            <m:sub>
              <m:r>
                <w:rPr>
                  <w:rFonts w:ascii="Cambria Math" w:hAnsi="Cambria Math"/>
                </w:rPr>
                <m:t>3</m:t>
              </m:r>
            </m:sub>
          </m:sSub>
          <m:r>
            <w:rPr>
              <w:rFonts w:ascii="Cambria Math" w:hAnsi="Cambria Math"/>
            </w:rPr>
            <m:t>+</m:t>
          </m:r>
          <m:sSub>
            <m:sSubPr>
              <m:ctrlPr>
                <w:rPr>
                  <w:rFonts w:ascii="Cambria Math" w:hAnsi="Cambria Math"/>
                  <w:i/>
                </w:rPr>
              </m:ctrlPr>
            </m:sSubPr>
            <m:e>
              <m:r>
                <m:rPr>
                  <m:sty m:val="p"/>
                </m:rPr>
                <w:rPr>
                  <w:rFonts w:ascii="Cambria Math" w:hAnsi="Cambria Math"/>
                </w:rPr>
                <m:t>γ</m:t>
              </m:r>
            </m:e>
            <m:sub>
              <m:r>
                <w:rPr>
                  <w:rFonts w:ascii="Cambria Math" w:hAnsi="Cambria Math"/>
                </w:rPr>
                <m:t>4</m:t>
              </m:r>
            </m:sub>
          </m:sSub>
          <m:sSub>
            <m:sSubPr>
              <m:ctrlPr>
                <w:rPr>
                  <w:rFonts w:ascii="Cambria Math" w:hAnsi="Cambria Math"/>
                  <w:i/>
                </w:rPr>
              </m:ctrlPr>
            </m:sSubPr>
            <m:e>
              <m:r>
                <w:rPr>
                  <w:rFonts w:ascii="Cambria Math" w:hAnsi="Cambria Math"/>
                </w:rPr>
                <m:t>β</m:t>
              </m:r>
            </m:e>
            <m:sub>
              <m:r>
                <w:rPr>
                  <w:rFonts w:ascii="Cambria Math" w:hAnsi="Cambria Math"/>
                </w:rPr>
                <m:t>4</m:t>
              </m:r>
            </m:sub>
          </m:sSub>
          <m:r>
            <w:rPr>
              <w:rFonts w:ascii="Cambria Math" w:hAnsi="Cambria Math"/>
            </w:rPr>
            <m:t>+</m:t>
          </m:r>
          <m:sSub>
            <m:sSubPr>
              <m:ctrlPr>
                <w:rPr>
                  <w:rFonts w:ascii="Cambria Math" w:hAnsi="Cambria Math"/>
                  <w:i/>
                </w:rPr>
              </m:ctrlPr>
            </m:sSubPr>
            <m:e>
              <m:r>
                <w:rPr>
                  <w:rFonts w:ascii="Cambria Math" w:hAnsi="Cambria Math"/>
                </w:rPr>
                <m:t>ϵ</m:t>
              </m:r>
            </m:e>
            <m:sub>
              <m:r>
                <w:rPr>
                  <w:rFonts w:ascii="Cambria Math" w:hAnsi="Cambria Math"/>
                </w:rPr>
                <m:t>i</m:t>
              </m:r>
            </m:sub>
          </m:sSub>
          <m:r>
            <w:rPr>
              <w:rFonts w:ascii="Cambria Math" w:hAnsi="Cambria Math"/>
            </w:rPr>
            <m:t xml:space="preserve">             (3.4)</m:t>
          </m:r>
        </m:oMath>
      </m:oMathPara>
    </w:p>
    <w:p w14:paraId="5D178811" w14:textId="77777777" w:rsidR="00C26B91" w:rsidRPr="00691748" w:rsidRDefault="00C26B91" w:rsidP="00C26B91">
      <w:pPr>
        <w:jc w:val="both"/>
      </w:pPr>
      <w:proofErr w:type="spellStart"/>
      <w:r w:rsidRPr="00691748">
        <w:t>WhereȒ</w:t>
      </w:r>
      <w:proofErr w:type="spellEnd"/>
      <w:r w:rsidRPr="00691748">
        <w:t xml:space="preserve"> is average monthly excess return of stock I, ƛ = risk premium, β</w:t>
      </w:r>
      <w:r w:rsidRPr="00691748">
        <w:rPr>
          <w:vertAlign w:val="subscript"/>
        </w:rPr>
        <w:t xml:space="preserve">1 </w:t>
      </w:r>
      <w:r w:rsidRPr="00691748">
        <w:t>to β</w:t>
      </w:r>
      <w:r w:rsidRPr="00691748">
        <w:rPr>
          <w:vertAlign w:val="subscript"/>
        </w:rPr>
        <w:t>4</w:t>
      </w:r>
      <w:r w:rsidRPr="00691748">
        <w:t xml:space="preserve"> are the factors scores and </w:t>
      </w:r>
      <w:proofErr w:type="spellStart"/>
      <w:r w:rsidRPr="00691748">
        <w:t>ε</w:t>
      </w:r>
      <w:r w:rsidRPr="00691748">
        <w:rPr>
          <w:vertAlign w:val="subscript"/>
        </w:rPr>
        <w:t>i</w:t>
      </w:r>
      <w:proofErr w:type="spellEnd"/>
      <w:r w:rsidRPr="00691748">
        <w:t xml:space="preserve"> is the error term.</w:t>
      </w:r>
    </w:p>
    <w:p w14:paraId="6ACBE158" w14:textId="77777777" w:rsidR="00C26B91" w:rsidRPr="00691748" w:rsidRDefault="00C26B91" w:rsidP="00C26B91">
      <w:pPr>
        <w:jc w:val="both"/>
        <w:rPr>
          <w:b/>
        </w:rPr>
      </w:pPr>
    </w:p>
    <w:p w14:paraId="2A90DFC3" w14:textId="77777777" w:rsidR="00C26B91" w:rsidRPr="00691748" w:rsidRDefault="00C26B91" w:rsidP="00C26B91">
      <w:pPr>
        <w:jc w:val="both"/>
        <w:rPr>
          <w:b/>
        </w:rPr>
      </w:pPr>
      <w:r w:rsidRPr="00691748">
        <w:rPr>
          <w:b/>
        </w:rPr>
        <w:t>3.4.3 Comparison of the Models</w:t>
      </w:r>
    </w:p>
    <w:p w14:paraId="12E4F9CF" w14:textId="77777777" w:rsidR="00C26B91" w:rsidRPr="00691748" w:rsidRDefault="00C26B91" w:rsidP="00C26B91">
      <w:pPr>
        <w:jc w:val="both"/>
      </w:pPr>
      <w:r w:rsidRPr="00691748">
        <w:tab/>
        <w:t xml:space="preserve">The next step of the study is to compare these competing models to evaluate that which one of these models is more supported by </w:t>
      </w:r>
      <w:proofErr w:type="spellStart"/>
      <w:proofErr w:type="gramStart"/>
      <w:r w:rsidRPr="00691748">
        <w:t>data.This</w:t>
      </w:r>
      <w:proofErr w:type="spellEnd"/>
      <w:proofErr w:type="gramEnd"/>
      <w:r w:rsidRPr="00691748">
        <w:t xml:space="preserve"> study follows the methods used by Chen (1983), the Davidson and Mackinnon equation (1981) and the posterior odds ratio (Zellner, 1979) for comparison of these Models.</w:t>
      </w:r>
    </w:p>
    <w:p w14:paraId="755035FD" w14:textId="77777777" w:rsidR="00C26B91" w:rsidRPr="00691748" w:rsidRDefault="00C26B91" w:rsidP="00C26B91">
      <w:pPr>
        <w:jc w:val="both"/>
      </w:pPr>
    </w:p>
    <w:p w14:paraId="2134292B" w14:textId="77777777" w:rsidR="00C26B91" w:rsidRPr="00691748" w:rsidRDefault="00C26B91" w:rsidP="00C26B91">
      <w:pPr>
        <w:jc w:val="both"/>
        <w:rPr>
          <w:b/>
        </w:rPr>
      </w:pPr>
      <w:r w:rsidRPr="00691748">
        <w:rPr>
          <w:b/>
        </w:rPr>
        <w:t>3.4.3.1 Davidson and MacKinnon Equation</w:t>
      </w:r>
    </w:p>
    <w:p w14:paraId="691C0CA4" w14:textId="77777777" w:rsidR="00C26B91" w:rsidRPr="00691748" w:rsidRDefault="00C26B91" w:rsidP="00C26B91">
      <w:pPr>
        <w:jc w:val="both"/>
      </w:pPr>
      <w:r w:rsidRPr="00691748">
        <w:tab/>
        <w:t xml:space="preserve">CAPM is considered the particular or strictly case of APT. These two models are non-nested because by imposing a set of linear restrictions on the parameters the APT cannot be reduced to CAPM. In other </w:t>
      </w:r>
      <w:proofErr w:type="gramStart"/>
      <w:r w:rsidRPr="00691748">
        <w:t>words</w:t>
      </w:r>
      <w:proofErr w:type="gramEnd"/>
      <w:r w:rsidRPr="00691748">
        <w:t xml:space="preserve"> the models do not have any common variable. Davidson and MacKinnon (1981) suggested the method to compare non-nested models. The study used the Davidson and MacKinnon equation (1981) to compare CAPM and APT.</w:t>
      </w:r>
    </w:p>
    <w:p w14:paraId="741DEE5B" w14:textId="77777777" w:rsidR="00C26B91" w:rsidRPr="00691748" w:rsidRDefault="00C26B91" w:rsidP="00C26B91">
      <w:pPr>
        <w:jc w:val="both"/>
      </w:pPr>
      <w:r w:rsidRPr="00691748">
        <w:t>This equation is as follows;</w:t>
      </w:r>
    </w:p>
    <w:p w14:paraId="3B4DFFC9" w14:textId="77777777" w:rsidR="00C26B91" w:rsidRPr="00691748" w:rsidRDefault="00000000" w:rsidP="00C26B91">
      <w:pPr>
        <w:jc w:val="both"/>
      </w:pPr>
      <m:oMathPara>
        <m:oMath>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=α</m:t>
          </m:r>
          <m:sSub>
            <m:sSubPr>
              <m:ctrlPr>
                <w:rPr>
                  <w:rFonts w:ascii="Cambria Math" w:hAnsi="Cambria Math"/>
                  <w:i/>
                </w:rPr>
              </m:ctrlPr>
            </m:sSubPr>
            <m:e>
              <m:r>
                <w:rPr>
                  <w:rFonts w:ascii="Cambria Math" w:hAnsi="Cambria Math"/>
                </w:rPr>
                <m:t>R</m:t>
              </m:r>
            </m:e>
            <m:sub>
              <m:r>
                <w:rPr>
                  <w:rFonts w:ascii="Cambria Math" w:hAnsi="Cambria Math"/>
                </w:rPr>
                <m:t>APT</m:t>
              </m:r>
            </m:sub>
          </m:sSub>
          <m:r>
            <w:rPr>
              <w:rFonts w:ascii="Cambria Math" w:hAnsi="Cambria Math"/>
            </w:rPr>
            <m:t>+</m:t>
          </m:r>
          <m:d>
            <m:dPr>
              <m:ctrlPr>
                <w:rPr>
                  <w:rFonts w:ascii="Cambria Math" w:hAnsi="Cambria Math"/>
                  <w:i/>
                </w:rPr>
              </m:ctrlPr>
            </m:dPr>
            <m:e>
              <m:r>
                <w:rPr>
                  <w:rFonts w:ascii="Cambria Math" w:hAnsi="Cambria Math"/>
                </w:rPr>
                <m:t>1-α</m:t>
              </m:r>
            </m:e>
          </m:d>
          <m:sSub>
            <m:sSubPr>
              <m:ctrlPr>
                <w:rPr>
                  <w:rFonts w:ascii="Cambria Math" w:hAnsi="Cambria Math"/>
                  <w:i/>
                </w:rPr>
              </m:ctrlPr>
            </m:sSubPr>
            <m:e>
              <m:r>
                <w:rPr>
                  <w:rFonts w:ascii="Cambria Math" w:hAnsi="Cambria Math"/>
                </w:rPr>
                <m:t>R</m:t>
              </m:r>
            </m:e>
            <m:sub>
              <m:r>
                <w:rPr>
                  <w:rFonts w:ascii="Cambria Math" w:hAnsi="Cambria Math"/>
                </w:rPr>
                <m:t>CAPM</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i</m:t>
              </m:r>
            </m:sub>
          </m:sSub>
          <m:r>
            <w:rPr>
              <w:rFonts w:ascii="Cambria Math" w:hAnsi="Cambria Math"/>
            </w:rPr>
            <m:t xml:space="preserve">                    (3.5)</m:t>
          </m:r>
        </m:oMath>
      </m:oMathPara>
    </w:p>
    <w:p w14:paraId="3A5A9D0F" w14:textId="77777777" w:rsidR="00C26B91" w:rsidRPr="00691748" w:rsidRDefault="00C26B91" w:rsidP="00C26B91">
      <w:pPr>
        <w:jc w:val="both"/>
      </w:pPr>
      <w:proofErr w:type="spellStart"/>
      <w:r w:rsidRPr="00691748">
        <w:t>WhereR</w:t>
      </w:r>
      <w:r w:rsidRPr="00691748">
        <w:rPr>
          <w:vertAlign w:val="subscript"/>
        </w:rPr>
        <w:t>i</w:t>
      </w:r>
      <w:proofErr w:type="spellEnd"/>
      <w:r w:rsidRPr="00691748">
        <w:rPr>
          <w:vertAlign w:val="subscript"/>
        </w:rPr>
        <w:t>=</w:t>
      </w:r>
      <w:r w:rsidRPr="00691748">
        <w:t xml:space="preserve"> the average monthly excess returns of the stock </w:t>
      </w:r>
      <w:proofErr w:type="spellStart"/>
      <w:r w:rsidRPr="00691748">
        <w:t>i</w:t>
      </w:r>
      <w:proofErr w:type="spellEnd"/>
      <w:r w:rsidRPr="00691748">
        <w:t>, R</w:t>
      </w:r>
      <w:r w:rsidRPr="00691748">
        <w:rPr>
          <w:vertAlign w:val="subscript"/>
        </w:rPr>
        <w:t xml:space="preserve">APT= </w:t>
      </w:r>
      <w:r w:rsidRPr="00691748">
        <w:t>expected excess returns estimated by APT, R</w:t>
      </w:r>
      <w:r w:rsidRPr="00691748">
        <w:rPr>
          <w:vertAlign w:val="subscript"/>
        </w:rPr>
        <w:t xml:space="preserve">CAPM= </w:t>
      </w:r>
      <w:r w:rsidRPr="00691748">
        <w:t xml:space="preserve">expected excess returns estimated by CAPM and α measure the effectiveness of the models. The APT is the accurate model to forecast the returns of the stocks as compare to </w:t>
      </w:r>
      <w:proofErr w:type="spellStart"/>
      <w:r w:rsidRPr="00691748">
        <w:t>CAPMif</w:t>
      </w:r>
      <w:proofErr w:type="spellEnd"/>
      <w:r w:rsidRPr="00691748">
        <w:t xml:space="preserve"> α is close to 1. </w:t>
      </w:r>
    </w:p>
    <w:p w14:paraId="41481686" w14:textId="77777777" w:rsidR="00C26B91" w:rsidRPr="00691748" w:rsidRDefault="00C26B91" w:rsidP="00C26B91">
      <w:pPr>
        <w:jc w:val="both"/>
        <w:rPr>
          <w:b/>
        </w:rPr>
      </w:pPr>
    </w:p>
    <w:p w14:paraId="0594F6DD" w14:textId="77777777" w:rsidR="00C26B91" w:rsidRPr="00691748" w:rsidRDefault="00C26B91" w:rsidP="00C26B91">
      <w:pPr>
        <w:jc w:val="both"/>
        <w:rPr>
          <w:b/>
        </w:rPr>
      </w:pPr>
      <w:r w:rsidRPr="00691748">
        <w:rPr>
          <w:b/>
        </w:rPr>
        <w:t>3.4.3.2 Posterior Odds Ratio</w:t>
      </w:r>
    </w:p>
    <w:p w14:paraId="3ECF2A24" w14:textId="77777777" w:rsidR="00C26B91" w:rsidRPr="00691748" w:rsidRDefault="00C26B91" w:rsidP="00C26B91">
      <w:pPr>
        <w:jc w:val="both"/>
        <w:rPr>
          <w:lang w:val="en-GB"/>
        </w:rPr>
      </w:pPr>
      <w:r w:rsidRPr="00691748">
        <w:rPr>
          <w:lang w:val="en-GB"/>
        </w:rPr>
        <w:tab/>
        <w:t>A standard assumption in theoretical and empirical research in finance is that relevant variables (</w:t>
      </w:r>
      <w:proofErr w:type="spellStart"/>
      <w:r w:rsidRPr="00691748">
        <w:rPr>
          <w:lang w:val="en-GB"/>
        </w:rPr>
        <w:t>e.g</w:t>
      </w:r>
      <w:proofErr w:type="spellEnd"/>
      <w:r w:rsidRPr="00691748">
        <w:rPr>
          <w:lang w:val="en-GB"/>
        </w:rPr>
        <w:t xml:space="preserve"> stock returns) have multivariate normal distributions (Richardson and smith, 1993). Given the </w:t>
      </w:r>
      <w:proofErr w:type="spellStart"/>
      <w:r w:rsidRPr="00691748">
        <w:rPr>
          <w:lang w:val="en-GB"/>
        </w:rPr>
        <w:t>assumptionthat</w:t>
      </w:r>
      <w:proofErr w:type="spellEnd"/>
      <w:r w:rsidRPr="00691748">
        <w:rPr>
          <w:lang w:val="en-GB"/>
        </w:rPr>
        <w:t xml:space="preserve"> the residuals of the cross-sectional regression of the CAPM and the APT satisfy the IID (Independently and identically distribution) multivariate normal assumption (Campbell, Lo and </w:t>
      </w:r>
      <w:proofErr w:type="spellStart"/>
      <w:r w:rsidRPr="00691748">
        <w:rPr>
          <w:lang w:val="en-GB"/>
        </w:rPr>
        <w:t>MacKinlay</w:t>
      </w:r>
      <w:proofErr w:type="spellEnd"/>
      <w:r w:rsidRPr="00691748">
        <w:rPr>
          <w:lang w:val="en-GB"/>
        </w:rPr>
        <w:t xml:space="preserve">, 1997), it is possible to calculate the posterior odds ratio between the two </w:t>
      </w:r>
      <w:proofErr w:type="spellStart"/>
      <w:r w:rsidRPr="00691748">
        <w:rPr>
          <w:lang w:val="en-GB"/>
        </w:rPr>
        <w:t>models.In</w:t>
      </w:r>
      <w:proofErr w:type="spellEnd"/>
      <w:r w:rsidRPr="00691748">
        <w:rPr>
          <w:lang w:val="en-GB"/>
        </w:rPr>
        <w:t xml:space="preserve"> general the posterior odds ratio is a more formal technique as compare to DM equation and has sounder theoretical grounds (</w:t>
      </w:r>
      <w:proofErr w:type="spellStart"/>
      <w:r w:rsidRPr="00691748">
        <w:rPr>
          <w:lang w:val="en-GB"/>
        </w:rPr>
        <w:t>Aggelidis</w:t>
      </w:r>
      <w:proofErr w:type="spellEnd"/>
      <w:r w:rsidRPr="00691748">
        <w:rPr>
          <w:lang w:val="en-GB"/>
        </w:rPr>
        <w:t xml:space="preserve"> and Maditinos, 2006).</w:t>
      </w:r>
    </w:p>
    <w:p w14:paraId="2C908736" w14:textId="77777777" w:rsidR="00C26B91" w:rsidRPr="00691748" w:rsidRDefault="00C26B91" w:rsidP="00C26B91">
      <w:pPr>
        <w:jc w:val="both"/>
        <w:rPr>
          <w:lang w:val="en-GB"/>
        </w:rPr>
      </w:pPr>
      <w:r w:rsidRPr="00691748">
        <w:t>The second comparison is done using posterior odd radio. The formula for posterior odds is given by Zellner (1979) in favor of model 0 over model 1.</w:t>
      </w:r>
    </w:p>
    <w:p w14:paraId="3F9FFE2E" w14:textId="77777777" w:rsidR="00C26B91" w:rsidRPr="00691748" w:rsidRDefault="00C26B91" w:rsidP="00C26B91">
      <w:pPr>
        <w:jc w:val="both"/>
      </w:pPr>
      <w:r w:rsidRPr="00691748">
        <w:t>The formula has the following form;</w:t>
      </w:r>
    </w:p>
    <w:p w14:paraId="77E70333" w14:textId="77777777" w:rsidR="00C26B91" w:rsidRPr="00691748" w:rsidRDefault="00C26B91" w:rsidP="00C26B91">
      <w:pPr>
        <w:jc w:val="both"/>
      </w:pPr>
    </w:p>
    <w:p w14:paraId="7472A938" w14:textId="77777777" w:rsidR="00C26B91" w:rsidRPr="00691748" w:rsidRDefault="00C26B91" w:rsidP="00C26B91">
      <w:pPr>
        <w:jc w:val="both"/>
      </w:pPr>
      <m:oMathPara>
        <m:oMath>
          <m:r>
            <w:rPr>
              <w:rFonts w:ascii="Cambria Math" w:hAnsi="Cambria Math"/>
            </w:rPr>
            <m:t>R=</m:t>
          </m:r>
          <m:sSup>
            <m:sSupPr>
              <m:ctrlPr>
                <w:rPr>
                  <w:rFonts w:ascii="Cambria Math" w:hAnsi="Cambria Math"/>
                  <w:i/>
                </w:rPr>
              </m:ctrlPr>
            </m:sSup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ESS</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ESS</m:t>
                      </m:r>
                    </m:e>
                    <m:sub>
                      <m:r>
                        <w:rPr>
                          <w:rFonts w:ascii="Cambria Math" w:hAnsi="Cambria Math"/>
                        </w:rPr>
                        <m:t>1</m:t>
                      </m:r>
                    </m:sub>
                  </m:sSub>
                </m:e>
              </m:d>
            </m:e>
            <m:sup>
              <m:r>
                <w:rPr>
                  <w:rFonts w:ascii="Cambria Math" w:hAnsi="Cambria Math"/>
                </w:rPr>
                <m:t>N/2</m:t>
              </m:r>
            </m:sup>
          </m:sSup>
          <m:sSup>
            <m:sSupPr>
              <m:ctrlPr>
                <w:rPr>
                  <w:rFonts w:ascii="Cambria Math" w:hAnsi="Cambria Math"/>
                  <w:i/>
                </w:rPr>
              </m:ctrlPr>
            </m:sSupPr>
            <m:e>
              <m:r>
                <w:rPr>
                  <w:rFonts w:ascii="Cambria Math" w:hAnsi="Cambria Math"/>
                </w:rPr>
                <m:t>N</m:t>
              </m:r>
            </m:e>
            <m:sup>
              <m:sSub>
                <m:sSubPr>
                  <m:ctrlPr>
                    <w:rPr>
                      <w:rFonts w:ascii="Cambria Math" w:hAnsi="Cambria Math"/>
                      <w:i/>
                    </w:rPr>
                  </m:ctrlPr>
                </m:sSubPr>
                <m:e>
                  <m:r>
                    <w:rPr>
                      <w:rFonts w:ascii="Cambria Math" w:hAnsi="Cambria Math"/>
                    </w:rPr>
                    <m:t>K</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1</m:t>
                  </m:r>
                </m:sub>
              </m:sSub>
              <m:r>
                <w:rPr>
                  <w:rFonts w:ascii="Cambria Math" w:hAnsi="Cambria Math"/>
                </w:rPr>
                <m:t>/2</m:t>
              </m:r>
            </m:sup>
          </m:sSup>
          <m:r>
            <w:rPr>
              <w:rFonts w:ascii="Cambria Math" w:hAnsi="Cambria Math"/>
            </w:rPr>
            <m:t xml:space="preserve">                   (3.6)</m:t>
          </m:r>
        </m:oMath>
      </m:oMathPara>
    </w:p>
    <w:p w14:paraId="6DD2C68C" w14:textId="77777777" w:rsidR="00C26B91" w:rsidRPr="00691748" w:rsidRDefault="00C26B91" w:rsidP="00C26B91">
      <w:pPr>
        <w:jc w:val="both"/>
      </w:pPr>
    </w:p>
    <w:p w14:paraId="4A17D6C7" w14:textId="77777777" w:rsidR="00C26B91" w:rsidRPr="00691748" w:rsidRDefault="00C26B91" w:rsidP="00C26B91">
      <w:pPr>
        <w:jc w:val="both"/>
        <w:rPr>
          <w:lang w:val="en-GB"/>
        </w:rPr>
      </w:pPr>
      <w:r w:rsidRPr="00691748">
        <w:tab/>
        <w:t>WhereESS</w:t>
      </w:r>
      <w:r w:rsidRPr="00691748">
        <w:rPr>
          <w:vertAlign w:val="subscript"/>
        </w:rPr>
        <w:t>0</w:t>
      </w:r>
      <w:r w:rsidRPr="00691748">
        <w:t>iserror sum of squares of APT, ESS</w:t>
      </w:r>
      <w:r w:rsidRPr="00691748">
        <w:rPr>
          <w:vertAlign w:val="subscript"/>
        </w:rPr>
        <w:t>1</w:t>
      </w:r>
      <w:r w:rsidRPr="00691748">
        <w:t xml:space="preserve">iserror sum of squares of CAPM, </w:t>
      </w:r>
      <w:proofErr w:type="spellStart"/>
      <w:r w:rsidRPr="00691748">
        <w:t>Nisnumber</w:t>
      </w:r>
      <w:proofErr w:type="spellEnd"/>
      <w:r w:rsidRPr="00691748">
        <w:t xml:space="preserve"> of observations, K</w:t>
      </w:r>
      <w:r w:rsidRPr="00691748">
        <w:rPr>
          <w:vertAlign w:val="subscript"/>
        </w:rPr>
        <w:t>0</w:t>
      </w:r>
      <w:r w:rsidRPr="00691748">
        <w:t>is number of independent variables of the APT and K</w:t>
      </w:r>
      <w:r w:rsidRPr="00691748">
        <w:rPr>
          <w:vertAlign w:val="subscript"/>
        </w:rPr>
        <w:t xml:space="preserve">1 </w:t>
      </w:r>
      <w:proofErr w:type="spellStart"/>
      <w:r w:rsidRPr="00691748">
        <w:t>isnumber</w:t>
      </w:r>
      <w:proofErr w:type="spellEnd"/>
      <w:r w:rsidRPr="00691748">
        <w:t xml:space="preserve"> of independent variables of the CAPM.</w:t>
      </w:r>
      <w:r w:rsidRPr="00691748">
        <w:rPr>
          <w:lang w:val="en-GB"/>
        </w:rPr>
        <w:t>As according to the ratio when;</w:t>
      </w:r>
    </w:p>
    <w:p w14:paraId="0F977C1E" w14:textId="77777777" w:rsidR="00C26B91" w:rsidRPr="00691748" w:rsidRDefault="00C26B91" w:rsidP="00C26B91">
      <w:pPr>
        <w:jc w:val="both"/>
        <w:rPr>
          <w:lang w:val="en-GB"/>
        </w:rPr>
      </w:pPr>
      <w:r w:rsidRPr="00691748">
        <w:rPr>
          <w:lang w:val="en-GB"/>
        </w:rPr>
        <w:t>R&gt; 1 means CAPM is more strongly supported by data under consideration than APT.</w:t>
      </w:r>
    </w:p>
    <w:p w14:paraId="41814CFC" w14:textId="77777777" w:rsidR="00C26B91" w:rsidRPr="00691748" w:rsidRDefault="00C26B91" w:rsidP="00C26B91">
      <w:pPr>
        <w:jc w:val="both"/>
        <w:rPr>
          <w:lang w:val="en-GB"/>
        </w:rPr>
      </w:pPr>
      <w:r w:rsidRPr="00691748">
        <w:rPr>
          <w:lang w:val="en-GB"/>
        </w:rPr>
        <w:t>R &lt; 1 means APT is more strongly supported by data under consideration than CAPM.</w:t>
      </w:r>
    </w:p>
    <w:p w14:paraId="18734155" w14:textId="77777777" w:rsidR="00C26B91" w:rsidRPr="00691748" w:rsidRDefault="00C26B91" w:rsidP="00C26B91">
      <w:pPr>
        <w:jc w:val="both"/>
      </w:pPr>
    </w:p>
    <w:p w14:paraId="189E0EEE" w14:textId="77777777" w:rsidR="00C26B91" w:rsidRPr="00691748" w:rsidRDefault="00C26B91" w:rsidP="00C26B91">
      <w:pPr>
        <w:jc w:val="left"/>
      </w:pPr>
      <w:r w:rsidRPr="00691748">
        <w:rPr>
          <w:b/>
        </w:rPr>
        <w:t>IV. RESULTS AND DISCUSSION</w:t>
      </w:r>
    </w:p>
    <w:p w14:paraId="02AF8B05" w14:textId="77777777" w:rsidR="00C26B91" w:rsidRPr="00691748" w:rsidRDefault="00C26B91" w:rsidP="00C26B91">
      <w:pPr>
        <w:jc w:val="both"/>
      </w:pPr>
      <w:r w:rsidRPr="00691748">
        <w:tab/>
      </w:r>
    </w:p>
    <w:p w14:paraId="2374E807" w14:textId="77777777" w:rsidR="00C26B91" w:rsidRPr="00691748" w:rsidRDefault="00C26B91" w:rsidP="00C26B91">
      <w:pPr>
        <w:jc w:val="both"/>
        <w:rPr>
          <w:b/>
        </w:rPr>
      </w:pPr>
      <w:r w:rsidRPr="00691748">
        <w:rPr>
          <w:b/>
        </w:rPr>
        <w:t>4.1 Results of Descriptive Statics of Study Variables</w:t>
      </w:r>
    </w:p>
    <w:tbl>
      <w:tblPr>
        <w:tblpPr w:leftFromText="180" w:rightFromText="180" w:vertAnchor="text" w:horzAnchor="margin" w:tblpY="422"/>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0"/>
        <w:gridCol w:w="1434"/>
        <w:gridCol w:w="1636"/>
        <w:gridCol w:w="1227"/>
        <w:gridCol w:w="1226"/>
        <w:gridCol w:w="1839"/>
        <w:gridCol w:w="1226"/>
      </w:tblGrid>
      <w:tr w:rsidR="00C26B91" w:rsidRPr="00691748" w14:paraId="192C95DC" w14:textId="77777777" w:rsidTr="00725842">
        <w:trPr>
          <w:trHeight w:val="63"/>
        </w:trPr>
        <w:tc>
          <w:tcPr>
            <w:tcW w:w="882" w:type="pct"/>
          </w:tcPr>
          <w:p w14:paraId="56F62AA3" w14:textId="77777777" w:rsidR="00C26B91" w:rsidRPr="00691748" w:rsidRDefault="00C26B91" w:rsidP="00725842">
            <w:pPr>
              <w:jc w:val="both"/>
            </w:pPr>
          </w:p>
          <w:p w14:paraId="3CCE94BE" w14:textId="77777777" w:rsidR="00C26B91" w:rsidRPr="00691748" w:rsidRDefault="00C26B91" w:rsidP="00725842">
            <w:pPr>
              <w:jc w:val="both"/>
            </w:pPr>
            <w:r w:rsidRPr="00691748">
              <w:t>Variable</w:t>
            </w:r>
          </w:p>
        </w:tc>
        <w:tc>
          <w:tcPr>
            <w:tcW w:w="687" w:type="pct"/>
            <w:vAlign w:val="bottom"/>
          </w:tcPr>
          <w:p w14:paraId="5C2D1B95" w14:textId="77777777" w:rsidR="00C26B91" w:rsidRPr="00691748" w:rsidRDefault="00C26B91" w:rsidP="00725842">
            <w:pPr>
              <w:jc w:val="both"/>
            </w:pPr>
            <w:r w:rsidRPr="00691748">
              <w:t>Minimum</w:t>
            </w:r>
          </w:p>
        </w:tc>
        <w:tc>
          <w:tcPr>
            <w:tcW w:w="784" w:type="pct"/>
            <w:vAlign w:val="bottom"/>
          </w:tcPr>
          <w:p w14:paraId="498805CF" w14:textId="77777777" w:rsidR="00C26B91" w:rsidRPr="00691748" w:rsidRDefault="00C26B91" w:rsidP="00725842">
            <w:pPr>
              <w:jc w:val="both"/>
            </w:pPr>
            <w:r w:rsidRPr="00691748">
              <w:t>Maximum</w:t>
            </w:r>
          </w:p>
        </w:tc>
        <w:tc>
          <w:tcPr>
            <w:tcW w:w="588" w:type="pct"/>
            <w:vAlign w:val="bottom"/>
          </w:tcPr>
          <w:p w14:paraId="0253B882" w14:textId="77777777" w:rsidR="00C26B91" w:rsidRPr="00691748" w:rsidRDefault="00C26B91" w:rsidP="00725842">
            <w:pPr>
              <w:jc w:val="both"/>
            </w:pPr>
            <w:r w:rsidRPr="00691748">
              <w:t>Mean</w:t>
            </w:r>
          </w:p>
        </w:tc>
        <w:tc>
          <w:tcPr>
            <w:tcW w:w="588" w:type="pct"/>
            <w:vAlign w:val="bottom"/>
          </w:tcPr>
          <w:p w14:paraId="60DA12B0" w14:textId="77777777" w:rsidR="00C26B91" w:rsidRPr="00691748" w:rsidRDefault="00C26B91" w:rsidP="00725842">
            <w:pPr>
              <w:jc w:val="both"/>
            </w:pPr>
            <w:r w:rsidRPr="00691748">
              <w:t>Std. Deviation</w:t>
            </w:r>
          </w:p>
        </w:tc>
        <w:tc>
          <w:tcPr>
            <w:tcW w:w="882" w:type="pct"/>
          </w:tcPr>
          <w:p w14:paraId="290BE460" w14:textId="77777777" w:rsidR="00C26B91" w:rsidRPr="00691748" w:rsidRDefault="00C26B91" w:rsidP="00725842">
            <w:pPr>
              <w:pStyle w:val="PlainText"/>
              <w:jc w:val="both"/>
              <w:rPr>
                <w:rFonts w:ascii="Times New Roman" w:hAnsi="Times New Roman"/>
                <w:sz w:val="20"/>
                <w:szCs w:val="20"/>
              </w:rPr>
            </w:pPr>
            <w:r w:rsidRPr="00691748">
              <w:rPr>
                <w:rFonts w:ascii="Times New Roman" w:hAnsi="Times New Roman"/>
                <w:sz w:val="20"/>
                <w:szCs w:val="20"/>
              </w:rPr>
              <w:t>Jarque-Bera test</w:t>
            </w:r>
          </w:p>
        </w:tc>
        <w:tc>
          <w:tcPr>
            <w:tcW w:w="588" w:type="pct"/>
          </w:tcPr>
          <w:p w14:paraId="4844F9B6" w14:textId="77777777" w:rsidR="00C26B91" w:rsidRPr="00691748" w:rsidRDefault="00C26B91" w:rsidP="00725842">
            <w:pPr>
              <w:jc w:val="both"/>
            </w:pPr>
            <w:r w:rsidRPr="00691748">
              <w:t>Sig</w:t>
            </w:r>
          </w:p>
        </w:tc>
      </w:tr>
      <w:tr w:rsidR="00C26B91" w:rsidRPr="00691748" w14:paraId="44348F62" w14:textId="77777777" w:rsidTr="00725842">
        <w:trPr>
          <w:trHeight w:val="63"/>
        </w:trPr>
        <w:tc>
          <w:tcPr>
            <w:tcW w:w="882" w:type="pct"/>
          </w:tcPr>
          <w:p w14:paraId="5E7DCB1F" w14:textId="77777777" w:rsidR="00C26B91" w:rsidRPr="00691748" w:rsidRDefault="00C26B91" w:rsidP="00725842">
            <w:pPr>
              <w:jc w:val="both"/>
            </w:pPr>
            <w:r w:rsidRPr="00691748">
              <w:t>KSE-100 Index</w:t>
            </w:r>
          </w:p>
        </w:tc>
        <w:tc>
          <w:tcPr>
            <w:tcW w:w="687" w:type="pct"/>
            <w:vAlign w:val="center"/>
          </w:tcPr>
          <w:p w14:paraId="1AE658ED" w14:textId="77777777" w:rsidR="00C26B91" w:rsidRPr="00691748" w:rsidRDefault="00C26B91" w:rsidP="00725842">
            <w:pPr>
              <w:jc w:val="both"/>
            </w:pPr>
            <w:r w:rsidRPr="00691748">
              <w:t>-0.11</w:t>
            </w:r>
          </w:p>
        </w:tc>
        <w:tc>
          <w:tcPr>
            <w:tcW w:w="784" w:type="pct"/>
            <w:vAlign w:val="center"/>
          </w:tcPr>
          <w:p w14:paraId="11EE4ED2" w14:textId="77777777" w:rsidR="00C26B91" w:rsidRPr="00691748" w:rsidRDefault="00C26B91" w:rsidP="00725842">
            <w:pPr>
              <w:jc w:val="both"/>
            </w:pPr>
          </w:p>
          <w:p w14:paraId="7E529624" w14:textId="77777777" w:rsidR="00C26B91" w:rsidRPr="00691748" w:rsidRDefault="00C26B91" w:rsidP="00725842">
            <w:pPr>
              <w:jc w:val="both"/>
            </w:pPr>
            <w:r w:rsidRPr="00691748">
              <w:t>0.14</w:t>
            </w:r>
          </w:p>
        </w:tc>
        <w:tc>
          <w:tcPr>
            <w:tcW w:w="588" w:type="pct"/>
            <w:vAlign w:val="center"/>
          </w:tcPr>
          <w:p w14:paraId="4156EAB3" w14:textId="77777777" w:rsidR="00C26B91" w:rsidRPr="00691748" w:rsidRDefault="00C26B91" w:rsidP="00725842">
            <w:pPr>
              <w:jc w:val="both"/>
            </w:pPr>
            <w:r w:rsidRPr="00691748">
              <w:t>0.020</w:t>
            </w:r>
          </w:p>
        </w:tc>
        <w:tc>
          <w:tcPr>
            <w:tcW w:w="588" w:type="pct"/>
            <w:vAlign w:val="center"/>
          </w:tcPr>
          <w:p w14:paraId="3E76A62D" w14:textId="77777777" w:rsidR="00C26B91" w:rsidRPr="00691748" w:rsidRDefault="00C26B91" w:rsidP="00725842">
            <w:pPr>
              <w:jc w:val="both"/>
            </w:pPr>
            <w:r w:rsidRPr="00691748">
              <w:t xml:space="preserve">       0.047</w:t>
            </w:r>
          </w:p>
        </w:tc>
        <w:tc>
          <w:tcPr>
            <w:tcW w:w="882" w:type="pct"/>
          </w:tcPr>
          <w:p w14:paraId="68D1DB52" w14:textId="77777777" w:rsidR="00C26B91" w:rsidRPr="00691748" w:rsidRDefault="00C26B91" w:rsidP="00725842">
            <w:pPr>
              <w:pStyle w:val="PlainText"/>
              <w:jc w:val="both"/>
              <w:rPr>
                <w:rFonts w:ascii="Times New Roman" w:hAnsi="Times New Roman"/>
                <w:sz w:val="20"/>
                <w:szCs w:val="20"/>
              </w:rPr>
            </w:pPr>
          </w:p>
          <w:p w14:paraId="55D7C3DC" w14:textId="77777777" w:rsidR="00C26B91" w:rsidRPr="00691748" w:rsidRDefault="00C26B91" w:rsidP="00725842">
            <w:pPr>
              <w:pStyle w:val="PlainText"/>
              <w:jc w:val="both"/>
              <w:rPr>
                <w:rFonts w:ascii="Times New Roman" w:hAnsi="Times New Roman"/>
                <w:sz w:val="20"/>
                <w:szCs w:val="20"/>
              </w:rPr>
            </w:pPr>
            <w:r w:rsidRPr="00691748">
              <w:rPr>
                <w:rFonts w:ascii="Times New Roman" w:hAnsi="Times New Roman"/>
                <w:sz w:val="20"/>
                <w:szCs w:val="20"/>
              </w:rPr>
              <w:t>5.558</w:t>
            </w:r>
          </w:p>
        </w:tc>
        <w:tc>
          <w:tcPr>
            <w:tcW w:w="588" w:type="pct"/>
          </w:tcPr>
          <w:p w14:paraId="5181BE6A" w14:textId="77777777" w:rsidR="00C26B91" w:rsidRPr="00691748" w:rsidRDefault="00C26B91" w:rsidP="00725842">
            <w:pPr>
              <w:jc w:val="both"/>
            </w:pPr>
          </w:p>
          <w:p w14:paraId="7972CD22" w14:textId="77777777" w:rsidR="00C26B91" w:rsidRPr="00691748" w:rsidRDefault="00C26B91" w:rsidP="00725842">
            <w:pPr>
              <w:jc w:val="both"/>
            </w:pPr>
            <w:r w:rsidRPr="00691748">
              <w:t>0.062</w:t>
            </w:r>
          </w:p>
        </w:tc>
      </w:tr>
      <w:tr w:rsidR="00C26B91" w:rsidRPr="00691748" w14:paraId="4DE73041" w14:textId="77777777" w:rsidTr="00725842">
        <w:trPr>
          <w:trHeight w:val="63"/>
        </w:trPr>
        <w:tc>
          <w:tcPr>
            <w:tcW w:w="882" w:type="pct"/>
          </w:tcPr>
          <w:p w14:paraId="2F6D6A29" w14:textId="77777777" w:rsidR="00C26B91" w:rsidRPr="00691748" w:rsidRDefault="00C26B91" w:rsidP="00725842">
            <w:pPr>
              <w:jc w:val="both"/>
            </w:pPr>
            <w:r w:rsidRPr="00691748">
              <w:t>Inflation</w:t>
            </w:r>
          </w:p>
        </w:tc>
        <w:tc>
          <w:tcPr>
            <w:tcW w:w="687" w:type="pct"/>
          </w:tcPr>
          <w:p w14:paraId="138E6C48" w14:textId="77777777" w:rsidR="00C26B91" w:rsidRPr="00691748" w:rsidRDefault="00C26B91" w:rsidP="00725842">
            <w:pPr>
              <w:jc w:val="both"/>
            </w:pPr>
            <w:r w:rsidRPr="00691748">
              <w:t xml:space="preserve">         -0.01</w:t>
            </w:r>
          </w:p>
        </w:tc>
        <w:tc>
          <w:tcPr>
            <w:tcW w:w="784" w:type="pct"/>
            <w:vAlign w:val="center"/>
          </w:tcPr>
          <w:p w14:paraId="59DCC146" w14:textId="77777777" w:rsidR="00C26B91" w:rsidRPr="00691748" w:rsidRDefault="00C26B91" w:rsidP="00725842">
            <w:pPr>
              <w:jc w:val="both"/>
            </w:pPr>
            <w:r w:rsidRPr="00691748">
              <w:t>0.02</w:t>
            </w:r>
          </w:p>
        </w:tc>
        <w:tc>
          <w:tcPr>
            <w:tcW w:w="588" w:type="pct"/>
            <w:vAlign w:val="center"/>
          </w:tcPr>
          <w:p w14:paraId="04EF8056" w14:textId="77777777" w:rsidR="00C26B91" w:rsidRPr="00691748" w:rsidRDefault="00C26B91" w:rsidP="00725842">
            <w:pPr>
              <w:jc w:val="both"/>
            </w:pPr>
            <w:r w:rsidRPr="00691748">
              <w:t>0.007</w:t>
            </w:r>
          </w:p>
        </w:tc>
        <w:tc>
          <w:tcPr>
            <w:tcW w:w="588" w:type="pct"/>
            <w:vAlign w:val="center"/>
          </w:tcPr>
          <w:p w14:paraId="731B17EA" w14:textId="77777777" w:rsidR="00C26B91" w:rsidRPr="00691748" w:rsidRDefault="00C26B91" w:rsidP="00725842">
            <w:pPr>
              <w:jc w:val="both"/>
            </w:pPr>
            <w:r w:rsidRPr="00691748">
              <w:t>0.008</w:t>
            </w:r>
          </w:p>
        </w:tc>
        <w:tc>
          <w:tcPr>
            <w:tcW w:w="882" w:type="pct"/>
          </w:tcPr>
          <w:p w14:paraId="71716072" w14:textId="77777777" w:rsidR="00C26B91" w:rsidRPr="00691748" w:rsidRDefault="00C26B91" w:rsidP="00725842">
            <w:pPr>
              <w:jc w:val="both"/>
            </w:pPr>
            <w:r w:rsidRPr="00691748">
              <w:t>1.345</w:t>
            </w:r>
          </w:p>
        </w:tc>
        <w:tc>
          <w:tcPr>
            <w:tcW w:w="588" w:type="pct"/>
          </w:tcPr>
          <w:p w14:paraId="258DD9BF" w14:textId="77777777" w:rsidR="00C26B91" w:rsidRPr="00691748" w:rsidRDefault="00C26B91" w:rsidP="00725842">
            <w:pPr>
              <w:jc w:val="both"/>
            </w:pPr>
            <w:r w:rsidRPr="00691748">
              <w:t>0.510</w:t>
            </w:r>
          </w:p>
        </w:tc>
      </w:tr>
      <w:tr w:rsidR="00C26B91" w:rsidRPr="00691748" w14:paraId="3D86D7C5" w14:textId="77777777" w:rsidTr="00725842">
        <w:trPr>
          <w:trHeight w:val="63"/>
        </w:trPr>
        <w:tc>
          <w:tcPr>
            <w:tcW w:w="882" w:type="pct"/>
          </w:tcPr>
          <w:p w14:paraId="39330C79" w14:textId="77777777" w:rsidR="00C26B91" w:rsidRPr="00691748" w:rsidRDefault="00C26B91" w:rsidP="00725842">
            <w:pPr>
              <w:jc w:val="both"/>
            </w:pPr>
            <w:r w:rsidRPr="00691748">
              <w:t>Exchange rate</w:t>
            </w:r>
          </w:p>
        </w:tc>
        <w:tc>
          <w:tcPr>
            <w:tcW w:w="687" w:type="pct"/>
            <w:vAlign w:val="center"/>
          </w:tcPr>
          <w:p w14:paraId="76725625" w14:textId="77777777" w:rsidR="00C26B91" w:rsidRPr="00691748" w:rsidRDefault="00C26B91" w:rsidP="00725842">
            <w:pPr>
              <w:jc w:val="both"/>
            </w:pPr>
            <w:r w:rsidRPr="00691748">
              <w:t>-0.07</w:t>
            </w:r>
          </w:p>
        </w:tc>
        <w:tc>
          <w:tcPr>
            <w:tcW w:w="784" w:type="pct"/>
            <w:vAlign w:val="center"/>
          </w:tcPr>
          <w:p w14:paraId="1B5FC1A1" w14:textId="77777777" w:rsidR="00C26B91" w:rsidRPr="00691748" w:rsidRDefault="00C26B91" w:rsidP="00725842">
            <w:pPr>
              <w:jc w:val="both"/>
            </w:pPr>
            <w:r w:rsidRPr="00691748">
              <w:t>0.04</w:t>
            </w:r>
          </w:p>
        </w:tc>
        <w:tc>
          <w:tcPr>
            <w:tcW w:w="588" w:type="pct"/>
            <w:vAlign w:val="center"/>
          </w:tcPr>
          <w:p w14:paraId="4393FE74" w14:textId="77777777" w:rsidR="00C26B91" w:rsidRPr="00691748" w:rsidRDefault="00C26B91" w:rsidP="00725842">
            <w:pPr>
              <w:jc w:val="both"/>
            </w:pPr>
            <w:r w:rsidRPr="00691748">
              <w:t>0.003</w:t>
            </w:r>
          </w:p>
        </w:tc>
        <w:tc>
          <w:tcPr>
            <w:tcW w:w="588" w:type="pct"/>
            <w:vAlign w:val="center"/>
          </w:tcPr>
          <w:p w14:paraId="1F956E20" w14:textId="77777777" w:rsidR="00C26B91" w:rsidRPr="00691748" w:rsidRDefault="00C26B91" w:rsidP="00725842">
            <w:pPr>
              <w:jc w:val="both"/>
            </w:pPr>
            <w:r w:rsidRPr="00691748">
              <w:t>0.013</w:t>
            </w:r>
          </w:p>
        </w:tc>
        <w:tc>
          <w:tcPr>
            <w:tcW w:w="882" w:type="pct"/>
          </w:tcPr>
          <w:p w14:paraId="42AE8E20" w14:textId="77777777" w:rsidR="00C26B91" w:rsidRPr="00691748" w:rsidRDefault="00C26B91" w:rsidP="00725842">
            <w:pPr>
              <w:jc w:val="both"/>
            </w:pPr>
            <w:r w:rsidRPr="00691748">
              <w:t>1.517</w:t>
            </w:r>
          </w:p>
        </w:tc>
        <w:tc>
          <w:tcPr>
            <w:tcW w:w="588" w:type="pct"/>
          </w:tcPr>
          <w:p w14:paraId="3D8F4CEC" w14:textId="77777777" w:rsidR="00C26B91" w:rsidRPr="00691748" w:rsidRDefault="00C26B91" w:rsidP="00725842">
            <w:pPr>
              <w:jc w:val="both"/>
            </w:pPr>
            <w:r w:rsidRPr="00691748">
              <w:t>0.467</w:t>
            </w:r>
          </w:p>
        </w:tc>
      </w:tr>
      <w:tr w:rsidR="00C26B91" w:rsidRPr="00691748" w14:paraId="5A2D6375" w14:textId="77777777" w:rsidTr="00725842">
        <w:trPr>
          <w:trHeight w:val="63"/>
        </w:trPr>
        <w:tc>
          <w:tcPr>
            <w:tcW w:w="882" w:type="pct"/>
          </w:tcPr>
          <w:p w14:paraId="791078D4" w14:textId="77777777" w:rsidR="00C26B91" w:rsidRPr="00691748" w:rsidRDefault="00C26B91" w:rsidP="00725842">
            <w:pPr>
              <w:jc w:val="both"/>
            </w:pPr>
            <w:r w:rsidRPr="00691748">
              <w:t>Oil Prices</w:t>
            </w:r>
          </w:p>
        </w:tc>
        <w:tc>
          <w:tcPr>
            <w:tcW w:w="687" w:type="pct"/>
            <w:vAlign w:val="center"/>
          </w:tcPr>
          <w:p w14:paraId="07F85C2C" w14:textId="77777777" w:rsidR="00C26B91" w:rsidRPr="00691748" w:rsidRDefault="00C26B91" w:rsidP="00725842">
            <w:pPr>
              <w:jc w:val="both"/>
            </w:pPr>
            <w:r w:rsidRPr="00691748">
              <w:t>-0.24</w:t>
            </w:r>
          </w:p>
        </w:tc>
        <w:tc>
          <w:tcPr>
            <w:tcW w:w="784" w:type="pct"/>
            <w:vAlign w:val="center"/>
          </w:tcPr>
          <w:p w14:paraId="5DF4C0E6" w14:textId="77777777" w:rsidR="00C26B91" w:rsidRPr="00691748" w:rsidRDefault="00C26B91" w:rsidP="00725842">
            <w:pPr>
              <w:jc w:val="both"/>
            </w:pPr>
            <w:r w:rsidRPr="00691748">
              <w:t>0.11</w:t>
            </w:r>
          </w:p>
        </w:tc>
        <w:tc>
          <w:tcPr>
            <w:tcW w:w="588" w:type="pct"/>
            <w:vAlign w:val="center"/>
          </w:tcPr>
          <w:p w14:paraId="11992B3F" w14:textId="77777777" w:rsidR="00C26B91" w:rsidRPr="00691748" w:rsidRDefault="00C26B91" w:rsidP="00725842">
            <w:pPr>
              <w:jc w:val="both"/>
            </w:pPr>
            <w:r w:rsidRPr="00691748">
              <w:t>0.041</w:t>
            </w:r>
          </w:p>
        </w:tc>
        <w:tc>
          <w:tcPr>
            <w:tcW w:w="588" w:type="pct"/>
            <w:vAlign w:val="center"/>
          </w:tcPr>
          <w:p w14:paraId="3C1CD4BF" w14:textId="77777777" w:rsidR="00C26B91" w:rsidRPr="00691748" w:rsidRDefault="00C26B91" w:rsidP="00725842">
            <w:pPr>
              <w:jc w:val="both"/>
            </w:pPr>
            <w:r w:rsidRPr="00691748">
              <w:t>0.060</w:t>
            </w:r>
          </w:p>
        </w:tc>
        <w:tc>
          <w:tcPr>
            <w:tcW w:w="882" w:type="pct"/>
          </w:tcPr>
          <w:p w14:paraId="391A7A74" w14:textId="77777777" w:rsidR="00C26B91" w:rsidRPr="00691748" w:rsidRDefault="00C26B91" w:rsidP="00725842">
            <w:pPr>
              <w:jc w:val="both"/>
            </w:pPr>
            <w:r w:rsidRPr="00691748">
              <w:t>2.474</w:t>
            </w:r>
          </w:p>
        </w:tc>
        <w:tc>
          <w:tcPr>
            <w:tcW w:w="588" w:type="pct"/>
          </w:tcPr>
          <w:p w14:paraId="47D89087" w14:textId="77777777" w:rsidR="00C26B91" w:rsidRPr="00691748" w:rsidRDefault="00C26B91" w:rsidP="00725842">
            <w:pPr>
              <w:jc w:val="both"/>
            </w:pPr>
            <w:r w:rsidRPr="00691748">
              <w:t>0.290</w:t>
            </w:r>
          </w:p>
        </w:tc>
      </w:tr>
      <w:tr w:rsidR="00C26B91" w:rsidRPr="00691748" w14:paraId="1362D867" w14:textId="77777777" w:rsidTr="00725842">
        <w:trPr>
          <w:trHeight w:val="63"/>
        </w:trPr>
        <w:tc>
          <w:tcPr>
            <w:tcW w:w="882" w:type="pct"/>
          </w:tcPr>
          <w:p w14:paraId="1A4D663C" w14:textId="77777777" w:rsidR="00C26B91" w:rsidRPr="00691748" w:rsidRDefault="00C26B91" w:rsidP="00725842">
            <w:pPr>
              <w:jc w:val="both"/>
            </w:pPr>
            <w:r w:rsidRPr="00691748">
              <w:t>Interest rate</w:t>
            </w:r>
          </w:p>
        </w:tc>
        <w:tc>
          <w:tcPr>
            <w:tcW w:w="687" w:type="pct"/>
            <w:vAlign w:val="center"/>
          </w:tcPr>
          <w:p w14:paraId="2657C066" w14:textId="77777777" w:rsidR="00C26B91" w:rsidRPr="00691748" w:rsidRDefault="00C26B91" w:rsidP="00725842">
            <w:pPr>
              <w:jc w:val="both"/>
            </w:pPr>
            <w:r w:rsidRPr="00691748">
              <w:t>-0.13</w:t>
            </w:r>
          </w:p>
        </w:tc>
        <w:tc>
          <w:tcPr>
            <w:tcW w:w="784" w:type="pct"/>
            <w:vAlign w:val="center"/>
          </w:tcPr>
          <w:p w14:paraId="0F7CD02A" w14:textId="77777777" w:rsidR="00C26B91" w:rsidRPr="00691748" w:rsidRDefault="00C26B91" w:rsidP="00725842">
            <w:pPr>
              <w:jc w:val="both"/>
            </w:pPr>
            <w:r w:rsidRPr="00691748">
              <w:t>0.05</w:t>
            </w:r>
          </w:p>
        </w:tc>
        <w:tc>
          <w:tcPr>
            <w:tcW w:w="588" w:type="pct"/>
            <w:vAlign w:val="center"/>
          </w:tcPr>
          <w:p w14:paraId="424A9D32" w14:textId="77777777" w:rsidR="00C26B91" w:rsidRPr="00691748" w:rsidRDefault="00C26B91" w:rsidP="00725842">
            <w:pPr>
              <w:jc w:val="both"/>
            </w:pPr>
            <w:r w:rsidRPr="00691748">
              <w:t>0.047</w:t>
            </w:r>
          </w:p>
        </w:tc>
        <w:tc>
          <w:tcPr>
            <w:tcW w:w="588" w:type="pct"/>
            <w:vAlign w:val="center"/>
          </w:tcPr>
          <w:p w14:paraId="437D5B02" w14:textId="77777777" w:rsidR="00C26B91" w:rsidRPr="00691748" w:rsidRDefault="00C26B91" w:rsidP="00725842">
            <w:pPr>
              <w:jc w:val="both"/>
            </w:pPr>
            <w:r w:rsidRPr="00691748">
              <w:t>0.029</w:t>
            </w:r>
          </w:p>
        </w:tc>
        <w:tc>
          <w:tcPr>
            <w:tcW w:w="882" w:type="pct"/>
          </w:tcPr>
          <w:p w14:paraId="3B193F62" w14:textId="77777777" w:rsidR="00C26B91" w:rsidRPr="00691748" w:rsidRDefault="00C26B91" w:rsidP="00725842">
            <w:pPr>
              <w:jc w:val="both"/>
            </w:pPr>
            <w:r w:rsidRPr="00691748">
              <w:t>1.745</w:t>
            </w:r>
          </w:p>
        </w:tc>
        <w:tc>
          <w:tcPr>
            <w:tcW w:w="588" w:type="pct"/>
          </w:tcPr>
          <w:p w14:paraId="52A15C68" w14:textId="77777777" w:rsidR="00C26B91" w:rsidRPr="00691748" w:rsidRDefault="00C26B91" w:rsidP="00725842">
            <w:pPr>
              <w:jc w:val="both"/>
            </w:pPr>
            <w:r w:rsidRPr="00691748">
              <w:t>0.418</w:t>
            </w:r>
          </w:p>
        </w:tc>
      </w:tr>
    </w:tbl>
    <w:p w14:paraId="521499FE" w14:textId="77777777" w:rsidR="00C26B91" w:rsidRPr="00691748" w:rsidRDefault="00C26B91" w:rsidP="00C26B91">
      <w:pPr>
        <w:jc w:val="both"/>
      </w:pPr>
      <w:r w:rsidRPr="00691748">
        <w:t>Table 4.1: Descriptive Statics</w:t>
      </w:r>
    </w:p>
    <w:p w14:paraId="7B649669" w14:textId="77777777" w:rsidR="00C26B91" w:rsidRPr="00691748" w:rsidRDefault="00C26B91" w:rsidP="00C26B91">
      <w:pPr>
        <w:jc w:val="both"/>
      </w:pPr>
      <w:r w:rsidRPr="00691748">
        <w:rPr>
          <w:b/>
        </w:rPr>
        <w:br w:type="textWrapping" w:clear="all"/>
      </w:r>
      <w:r w:rsidRPr="00691748">
        <w:t xml:space="preserve">Table 4.1 displayed mean, standard deviation, maximum minimum and </w:t>
      </w:r>
      <w:proofErr w:type="spellStart"/>
      <w:r w:rsidRPr="00691748">
        <w:t>jarque-bera</w:t>
      </w:r>
      <w:proofErr w:type="spellEnd"/>
      <w:r w:rsidRPr="00691748">
        <w:t xml:space="preserve"> test and its p value of the macroeconomic variables of the study. The descriptive statistics indicated that the mean values of variables (index, INF, EX, </w:t>
      </w:r>
      <w:proofErr w:type="spellStart"/>
      <w:r w:rsidRPr="00691748">
        <w:t>OilP</w:t>
      </w:r>
      <w:proofErr w:type="spellEnd"/>
      <w:r w:rsidRPr="00691748">
        <w:t xml:space="preserve"> and INT) were </w:t>
      </w:r>
      <w:r w:rsidRPr="00691748">
        <w:lastRenderedPageBreak/>
        <w:t xml:space="preserve">0.020, 0.007, 0.003, 0.041 and 0.047 respectively. The maximum values of the variables between the study periods were 0.14, 0.02, 0.04, 0.41, 0.11 and 0.05 for the KSE- 100 Index, inflation, exchange rate, oil prices and interest rate. </w:t>
      </w:r>
    </w:p>
    <w:p w14:paraId="5CEB44FC" w14:textId="77777777" w:rsidR="00C26B91" w:rsidRPr="00691748" w:rsidRDefault="00C26B91" w:rsidP="00C26B91">
      <w:pPr>
        <w:jc w:val="both"/>
      </w:pPr>
      <w:r w:rsidRPr="00691748">
        <w:t xml:space="preserve">The standard deviations for each variable indicated that data were widely spread around their respective means. </w:t>
      </w:r>
    </w:p>
    <w:p w14:paraId="48C267B7" w14:textId="77777777" w:rsidR="00C26B91" w:rsidRPr="00691748" w:rsidRDefault="00C26B91" w:rsidP="00C26B91">
      <w:pPr>
        <w:jc w:val="both"/>
      </w:pPr>
      <w:r w:rsidRPr="00691748">
        <w:t xml:space="preserve">Column 6 in table 4.1 shows </w:t>
      </w:r>
      <w:proofErr w:type="spellStart"/>
      <w:r w:rsidRPr="00691748">
        <w:t>jarque</w:t>
      </w:r>
      <w:proofErr w:type="spellEnd"/>
      <w:r w:rsidRPr="00691748">
        <w:t xml:space="preserve"> </w:t>
      </w:r>
      <w:proofErr w:type="spellStart"/>
      <w:r w:rsidRPr="00691748">
        <w:t>bera</w:t>
      </w:r>
      <w:proofErr w:type="spellEnd"/>
      <w:r w:rsidRPr="00691748">
        <w:t xml:space="preserve"> test which is used to </w:t>
      </w:r>
      <w:proofErr w:type="spellStart"/>
      <w:r w:rsidRPr="00691748">
        <w:t>checkthe</w:t>
      </w:r>
      <w:proofErr w:type="spellEnd"/>
      <w:r w:rsidRPr="00691748">
        <w:t xml:space="preserve"> normality of data. The hypotheses of the normal distribution are given;</w:t>
      </w:r>
    </w:p>
    <w:p w14:paraId="6511AE18" w14:textId="77777777" w:rsidR="00C26B91" w:rsidRPr="00691748" w:rsidRDefault="00C26B91" w:rsidP="00C26B91">
      <w:pPr>
        <w:jc w:val="both"/>
      </w:pPr>
      <w:r w:rsidRPr="00691748">
        <w:t>H</w:t>
      </w:r>
      <w:proofErr w:type="gramStart"/>
      <w:r w:rsidRPr="00691748">
        <w:rPr>
          <w:vertAlign w:val="subscript"/>
        </w:rPr>
        <w:t xml:space="preserve">0 </w:t>
      </w:r>
      <w:r w:rsidRPr="00691748">
        <w:t>:</w:t>
      </w:r>
      <w:proofErr w:type="gramEnd"/>
      <w:r w:rsidRPr="00691748">
        <w:t xml:space="preserve"> The data is normally distributed.</w:t>
      </w:r>
    </w:p>
    <w:p w14:paraId="7250CE05" w14:textId="77777777" w:rsidR="00C26B91" w:rsidRPr="00691748" w:rsidRDefault="00C26B91" w:rsidP="00C26B91">
      <w:pPr>
        <w:jc w:val="both"/>
      </w:pPr>
      <w:r w:rsidRPr="00691748">
        <w:t>H</w:t>
      </w:r>
      <w:proofErr w:type="gramStart"/>
      <w:r w:rsidRPr="00691748">
        <w:rPr>
          <w:vertAlign w:val="subscript"/>
        </w:rPr>
        <w:t>1 :</w:t>
      </w:r>
      <w:r w:rsidRPr="00691748">
        <w:t>The</w:t>
      </w:r>
      <w:proofErr w:type="gramEnd"/>
      <w:r w:rsidRPr="00691748">
        <w:t xml:space="preserve"> data is not normally distributed.</w:t>
      </w:r>
    </w:p>
    <w:p w14:paraId="20FC86F6" w14:textId="77777777" w:rsidR="00C26B91" w:rsidRPr="00691748" w:rsidRDefault="00C26B91" w:rsidP="00C26B91">
      <w:pPr>
        <w:jc w:val="both"/>
      </w:pPr>
      <w:r w:rsidRPr="00691748">
        <w:t>Table 4.1 shows that at 5 % level of confidence, the null hypothesis of normality cannot be rejected. KSE-100 index and macroeconomic variables inflation, exchange rate, oil prices and interest rate are normally distributed.</w:t>
      </w:r>
    </w:p>
    <w:p w14:paraId="12D249A3" w14:textId="77777777" w:rsidR="00C26B91" w:rsidRPr="00691748" w:rsidRDefault="00C26B91" w:rsidP="00C26B91">
      <w:pPr>
        <w:jc w:val="both"/>
      </w:pPr>
      <w:r w:rsidRPr="00691748">
        <w:t>The descriptive statistics from Table 4.1 showed that the values were normally distributed about their mean and variance. This indicated that aggregate stock prices on the KSE and the macroeconomic factors, inflation rate, oil prices, exchange rate, and interest rate are all not too much sensitive to periodic changes and speculation. To interpret, this study found that an individual investor could not earn higher rate of profit from the KSE. Additionally, individual investors and corporations could not earn higher profits and interest rates from the economy and foreign companies could not earn considerably higher returns in terms of exchange rate. The investor could only earn a normal profit from KSE.</w:t>
      </w:r>
    </w:p>
    <w:p w14:paraId="3B48B27F" w14:textId="77777777" w:rsidR="00692375" w:rsidRPr="002C60BB" w:rsidRDefault="002C60BB">
      <w:pPr>
        <w:pStyle w:val="tablehead"/>
        <w:rPr>
          <w:smallCaps w:val="0"/>
          <w:spacing w:val="-1"/>
          <w:sz w:val="20"/>
          <w:szCs w:val="20"/>
          <w:lang w:eastAsia="zh-CN"/>
        </w:rPr>
      </w:pPr>
      <w:r w:rsidRPr="002C60BB">
        <w:rPr>
          <w:smallCaps w:val="0"/>
          <w:spacing w:val="-1"/>
          <w:sz w:val="20"/>
          <w:szCs w:val="20"/>
          <w:lang w:eastAsia="zh-CN"/>
        </w:rPr>
        <w:t xml:space="preserve">Table 1 </w:t>
      </w:r>
      <w:r w:rsidR="007D522D" w:rsidRPr="002C60BB">
        <w:rPr>
          <w:smallCaps w:val="0"/>
          <w:spacing w:val="-1"/>
          <w:sz w:val="20"/>
          <w:szCs w:val="20"/>
          <w:lang w:eastAsia="zh-CN"/>
        </w:rPr>
        <w:t>Table Type Styles</w:t>
      </w:r>
    </w:p>
    <w:tbl>
      <w:tblPr>
        <w:tblW w:w="0" w:type="auto"/>
        <w:jc w:val="center"/>
        <w:tblLayout w:type="fixed"/>
        <w:tblLook w:val="0000" w:firstRow="0" w:lastRow="0" w:firstColumn="0" w:lastColumn="0" w:noHBand="0" w:noVBand="0"/>
      </w:tblPr>
      <w:tblGrid>
        <w:gridCol w:w="720"/>
        <w:gridCol w:w="2340"/>
        <w:gridCol w:w="1039"/>
        <w:gridCol w:w="1039"/>
      </w:tblGrid>
      <w:tr w:rsidR="00692375" w:rsidRPr="002C60BB" w14:paraId="729DA5B6" w14:textId="77777777" w:rsidTr="00092B52">
        <w:trPr>
          <w:trHeight w:val="240"/>
          <w:tblHeader/>
          <w:jc w:val="center"/>
        </w:trPr>
        <w:tc>
          <w:tcPr>
            <w:tcW w:w="720" w:type="dxa"/>
            <w:tcBorders>
              <w:top w:val="single" w:sz="1" w:space="0" w:color="000000"/>
              <w:left w:val="single" w:sz="1" w:space="0" w:color="000000"/>
              <w:bottom w:val="single" w:sz="1" w:space="0" w:color="000000"/>
            </w:tcBorders>
            <w:vAlign w:val="center"/>
          </w:tcPr>
          <w:p w14:paraId="6EF47A84" w14:textId="77777777" w:rsidR="00692375" w:rsidRPr="002C60BB" w:rsidRDefault="007D522D">
            <w:pPr>
              <w:pStyle w:val="tablecolhead"/>
              <w:snapToGrid w:val="0"/>
              <w:rPr>
                <w:sz w:val="20"/>
                <w:szCs w:val="20"/>
              </w:rPr>
            </w:pPr>
            <w:proofErr w:type="spellStart"/>
            <w:r w:rsidRPr="002C60BB">
              <w:rPr>
                <w:sz w:val="20"/>
                <w:szCs w:val="20"/>
              </w:rPr>
              <w:t>TableHead</w:t>
            </w:r>
            <w:proofErr w:type="spellEnd"/>
          </w:p>
        </w:tc>
        <w:tc>
          <w:tcPr>
            <w:tcW w:w="4418" w:type="dxa"/>
            <w:gridSpan w:val="3"/>
            <w:tcBorders>
              <w:top w:val="single" w:sz="1" w:space="0" w:color="000000"/>
              <w:left w:val="single" w:sz="1" w:space="0" w:color="000000"/>
              <w:bottom w:val="single" w:sz="1" w:space="0" w:color="000000"/>
              <w:right w:val="single" w:sz="1" w:space="0" w:color="000000"/>
            </w:tcBorders>
            <w:vAlign w:val="center"/>
          </w:tcPr>
          <w:p w14:paraId="340D05A0" w14:textId="77777777" w:rsidR="00692375" w:rsidRPr="002C60BB" w:rsidRDefault="007D522D">
            <w:pPr>
              <w:pStyle w:val="tablecolhead"/>
              <w:snapToGrid w:val="0"/>
              <w:rPr>
                <w:sz w:val="20"/>
                <w:szCs w:val="20"/>
              </w:rPr>
            </w:pPr>
            <w:proofErr w:type="spellStart"/>
            <w:r w:rsidRPr="002C60BB">
              <w:rPr>
                <w:sz w:val="20"/>
                <w:szCs w:val="20"/>
              </w:rPr>
              <w:t>TableColumnHead</w:t>
            </w:r>
            <w:proofErr w:type="spellEnd"/>
          </w:p>
        </w:tc>
      </w:tr>
      <w:tr w:rsidR="00692375" w:rsidRPr="002C60BB" w14:paraId="69596E7A" w14:textId="77777777" w:rsidTr="00092B52">
        <w:trPr>
          <w:trHeight w:val="240"/>
          <w:tblHeader/>
          <w:jc w:val="center"/>
        </w:trPr>
        <w:tc>
          <w:tcPr>
            <w:tcW w:w="720" w:type="dxa"/>
            <w:tcBorders>
              <w:top w:val="single" w:sz="1" w:space="0" w:color="000000"/>
              <w:left w:val="single" w:sz="1" w:space="0" w:color="000000"/>
              <w:bottom w:val="single" w:sz="1" w:space="0" w:color="000000"/>
            </w:tcBorders>
          </w:tcPr>
          <w:p w14:paraId="24EB281C" w14:textId="77777777" w:rsidR="00692375" w:rsidRPr="002C60BB" w:rsidRDefault="00692375">
            <w:pPr>
              <w:snapToGrid w:val="0"/>
            </w:pPr>
          </w:p>
        </w:tc>
        <w:tc>
          <w:tcPr>
            <w:tcW w:w="2340" w:type="dxa"/>
            <w:tcBorders>
              <w:top w:val="single" w:sz="1" w:space="0" w:color="000000"/>
              <w:left w:val="single" w:sz="1" w:space="0" w:color="000000"/>
              <w:bottom w:val="single" w:sz="1" w:space="0" w:color="000000"/>
            </w:tcBorders>
            <w:vAlign w:val="center"/>
          </w:tcPr>
          <w:p w14:paraId="6C6E90B6" w14:textId="77777777" w:rsidR="00692375" w:rsidRPr="00092B52" w:rsidRDefault="007D522D">
            <w:pPr>
              <w:pStyle w:val="tablecolsubhead"/>
              <w:snapToGrid w:val="0"/>
              <w:rPr>
                <w:i w:val="0"/>
                <w:sz w:val="20"/>
                <w:szCs w:val="20"/>
              </w:rPr>
            </w:pPr>
            <w:proofErr w:type="spellStart"/>
            <w:r w:rsidRPr="00092B52">
              <w:rPr>
                <w:i w:val="0"/>
                <w:sz w:val="20"/>
                <w:szCs w:val="20"/>
              </w:rPr>
              <w:t>Tablecolumnsubhead</w:t>
            </w:r>
            <w:proofErr w:type="spellEnd"/>
          </w:p>
        </w:tc>
        <w:tc>
          <w:tcPr>
            <w:tcW w:w="1039" w:type="dxa"/>
            <w:tcBorders>
              <w:top w:val="single" w:sz="1" w:space="0" w:color="000000"/>
              <w:left w:val="single" w:sz="1" w:space="0" w:color="000000"/>
              <w:bottom w:val="single" w:sz="1" w:space="0" w:color="000000"/>
            </w:tcBorders>
            <w:vAlign w:val="center"/>
          </w:tcPr>
          <w:p w14:paraId="68B28E73" w14:textId="77777777" w:rsidR="00692375" w:rsidRPr="00092B52" w:rsidRDefault="007D522D">
            <w:pPr>
              <w:pStyle w:val="tablecolsubhead"/>
              <w:snapToGrid w:val="0"/>
              <w:rPr>
                <w:i w:val="0"/>
                <w:sz w:val="20"/>
                <w:szCs w:val="20"/>
              </w:rPr>
            </w:pPr>
            <w:r w:rsidRPr="00092B52">
              <w:rPr>
                <w:i w:val="0"/>
                <w:sz w:val="20"/>
                <w:szCs w:val="20"/>
              </w:rPr>
              <w:t>Subhead</w:t>
            </w:r>
          </w:p>
        </w:tc>
        <w:tc>
          <w:tcPr>
            <w:tcW w:w="1039" w:type="dxa"/>
            <w:tcBorders>
              <w:top w:val="single" w:sz="1" w:space="0" w:color="000000"/>
              <w:left w:val="single" w:sz="1" w:space="0" w:color="000000"/>
              <w:bottom w:val="single" w:sz="1" w:space="0" w:color="000000"/>
              <w:right w:val="single" w:sz="1" w:space="0" w:color="000000"/>
            </w:tcBorders>
            <w:vAlign w:val="center"/>
          </w:tcPr>
          <w:p w14:paraId="250FC731" w14:textId="77777777" w:rsidR="00692375" w:rsidRPr="00092B52" w:rsidRDefault="007D522D">
            <w:pPr>
              <w:pStyle w:val="tablecolsubhead"/>
              <w:snapToGrid w:val="0"/>
              <w:rPr>
                <w:i w:val="0"/>
                <w:sz w:val="20"/>
                <w:szCs w:val="20"/>
              </w:rPr>
            </w:pPr>
            <w:r w:rsidRPr="00092B52">
              <w:rPr>
                <w:i w:val="0"/>
                <w:sz w:val="20"/>
                <w:szCs w:val="20"/>
              </w:rPr>
              <w:t>Subhead</w:t>
            </w:r>
          </w:p>
        </w:tc>
      </w:tr>
      <w:tr w:rsidR="00692375" w:rsidRPr="002C60BB" w14:paraId="04B56385" w14:textId="77777777" w:rsidTr="00092B52">
        <w:trPr>
          <w:trHeight w:val="320"/>
          <w:jc w:val="center"/>
        </w:trPr>
        <w:tc>
          <w:tcPr>
            <w:tcW w:w="720" w:type="dxa"/>
            <w:tcBorders>
              <w:top w:val="single" w:sz="1" w:space="0" w:color="000000"/>
              <w:left w:val="single" w:sz="1" w:space="0" w:color="000000"/>
              <w:bottom w:val="single" w:sz="1" w:space="0" w:color="000000"/>
            </w:tcBorders>
            <w:vAlign w:val="center"/>
          </w:tcPr>
          <w:p w14:paraId="26F029B2" w14:textId="77777777" w:rsidR="00692375" w:rsidRPr="002C60BB" w:rsidRDefault="007D522D">
            <w:pPr>
              <w:pStyle w:val="tablecopy"/>
              <w:snapToGrid w:val="0"/>
              <w:rPr>
                <w:sz w:val="20"/>
                <w:szCs w:val="20"/>
              </w:rPr>
            </w:pPr>
            <w:r w:rsidRPr="002C60BB">
              <w:rPr>
                <w:sz w:val="20"/>
                <w:szCs w:val="20"/>
              </w:rPr>
              <w:t>copy</w:t>
            </w:r>
          </w:p>
        </w:tc>
        <w:tc>
          <w:tcPr>
            <w:tcW w:w="2340" w:type="dxa"/>
            <w:tcBorders>
              <w:top w:val="single" w:sz="1" w:space="0" w:color="000000"/>
              <w:left w:val="single" w:sz="1" w:space="0" w:color="000000"/>
              <w:bottom w:val="single" w:sz="1" w:space="0" w:color="000000"/>
            </w:tcBorders>
            <w:vAlign w:val="center"/>
          </w:tcPr>
          <w:p w14:paraId="667C504D" w14:textId="77777777" w:rsidR="00692375" w:rsidRPr="002C60BB" w:rsidRDefault="007D522D">
            <w:pPr>
              <w:pStyle w:val="tablecopy"/>
              <w:snapToGrid w:val="0"/>
              <w:rPr>
                <w:sz w:val="20"/>
                <w:szCs w:val="20"/>
              </w:rPr>
            </w:pPr>
            <w:proofErr w:type="spellStart"/>
            <w:r w:rsidRPr="002C60BB">
              <w:rPr>
                <w:sz w:val="20"/>
                <w:szCs w:val="20"/>
              </w:rPr>
              <w:t>Moretablecopy</w:t>
            </w:r>
            <w:r w:rsidRPr="002C60BB">
              <w:rPr>
                <w:sz w:val="20"/>
                <w:szCs w:val="20"/>
                <w:vertAlign w:val="superscript"/>
              </w:rPr>
              <w:t>a</w:t>
            </w:r>
            <w:proofErr w:type="spellEnd"/>
          </w:p>
        </w:tc>
        <w:tc>
          <w:tcPr>
            <w:tcW w:w="1039" w:type="dxa"/>
            <w:tcBorders>
              <w:top w:val="single" w:sz="1" w:space="0" w:color="000000"/>
              <w:left w:val="single" w:sz="1" w:space="0" w:color="000000"/>
              <w:bottom w:val="single" w:sz="1" w:space="0" w:color="000000"/>
            </w:tcBorders>
            <w:vAlign w:val="center"/>
          </w:tcPr>
          <w:p w14:paraId="4A21947B" w14:textId="77777777" w:rsidR="00692375" w:rsidRPr="002C60BB" w:rsidRDefault="00692375">
            <w:pPr>
              <w:snapToGrid w:val="0"/>
            </w:pPr>
          </w:p>
        </w:tc>
        <w:tc>
          <w:tcPr>
            <w:tcW w:w="1039" w:type="dxa"/>
            <w:tcBorders>
              <w:top w:val="single" w:sz="1" w:space="0" w:color="000000"/>
              <w:left w:val="single" w:sz="1" w:space="0" w:color="000000"/>
              <w:bottom w:val="single" w:sz="1" w:space="0" w:color="000000"/>
              <w:right w:val="single" w:sz="1" w:space="0" w:color="000000"/>
            </w:tcBorders>
            <w:vAlign w:val="center"/>
          </w:tcPr>
          <w:p w14:paraId="054A0BDA" w14:textId="77777777" w:rsidR="00692375" w:rsidRPr="002C60BB" w:rsidRDefault="00692375">
            <w:pPr>
              <w:snapToGrid w:val="0"/>
            </w:pPr>
          </w:p>
        </w:tc>
      </w:tr>
    </w:tbl>
    <w:p w14:paraId="3DB79712" w14:textId="77777777" w:rsidR="00692375" w:rsidRPr="002C60BB" w:rsidRDefault="007D522D" w:rsidP="002C60BB">
      <w:pPr>
        <w:pStyle w:val="Heading1"/>
        <w:numPr>
          <w:ilvl w:val="0"/>
          <w:numId w:val="1"/>
        </w:numPr>
        <w:jc w:val="left"/>
        <w:rPr>
          <w:b/>
        </w:rPr>
      </w:pPr>
      <w:r w:rsidRPr="002C60BB">
        <w:rPr>
          <w:b/>
        </w:rPr>
        <w:t>Acknowledgment</w:t>
      </w:r>
    </w:p>
    <w:p w14:paraId="472B5864" w14:textId="77777777" w:rsidR="00692375" w:rsidRDefault="007D522D">
      <w:pPr>
        <w:pStyle w:val="BodyText"/>
      </w:pPr>
      <w:proofErr w:type="spellStart"/>
      <w:r>
        <w:t>Thepreferredspellingoftheword</w:t>
      </w:r>
      <w:proofErr w:type="spellEnd"/>
      <w:r>
        <w:rPr>
          <w:rFonts w:eastAsia="Times New Roman"/>
        </w:rPr>
        <w:t xml:space="preserve"> “</w:t>
      </w:r>
      <w:r>
        <w:t>acknowledgment</w:t>
      </w:r>
      <w:r>
        <w:rPr>
          <w:rFonts w:eastAsia="Times New Roman"/>
        </w:rPr>
        <w:t xml:space="preserve">” </w:t>
      </w:r>
      <w:proofErr w:type="spellStart"/>
      <w:r>
        <w:t>inAmericaiswithoutan</w:t>
      </w:r>
      <w:proofErr w:type="spellEnd"/>
      <w:r>
        <w:rPr>
          <w:rFonts w:eastAsia="Times New Roman"/>
        </w:rPr>
        <w:t xml:space="preserve"> “</w:t>
      </w:r>
      <w:r>
        <w:t>e</w:t>
      </w:r>
      <w:r>
        <w:rPr>
          <w:rFonts w:eastAsia="Times New Roman"/>
        </w:rPr>
        <w:t xml:space="preserve">” </w:t>
      </w:r>
      <w:proofErr w:type="spellStart"/>
      <w:r>
        <w:t>afterthe</w:t>
      </w:r>
      <w:proofErr w:type="spellEnd"/>
      <w:r>
        <w:rPr>
          <w:rFonts w:eastAsia="Times New Roman"/>
        </w:rPr>
        <w:t xml:space="preserve"> “</w:t>
      </w:r>
      <w:r>
        <w:t>g</w:t>
      </w:r>
      <w:proofErr w:type="gramStart"/>
      <w:r>
        <w:rPr>
          <w:rFonts w:eastAsia="Times New Roman"/>
        </w:rPr>
        <w:t>”</w:t>
      </w:r>
      <w:r>
        <w:t>.</w:t>
      </w:r>
      <w:proofErr w:type="spellStart"/>
      <w:r>
        <w:t>Avoidthestiltedexpression</w:t>
      </w:r>
      <w:proofErr w:type="spellEnd"/>
      <w:proofErr w:type="gramEnd"/>
      <w:r>
        <w:t>,</w:t>
      </w:r>
      <w:r>
        <w:rPr>
          <w:rFonts w:eastAsia="Times New Roman"/>
        </w:rPr>
        <w:t xml:space="preserve"> “</w:t>
      </w:r>
      <w:proofErr w:type="spellStart"/>
      <w:proofErr w:type="gramStart"/>
      <w:r>
        <w:t>Oneofus</w:t>
      </w:r>
      <w:proofErr w:type="spellEnd"/>
      <w:r>
        <w:t>(R.B.G.)thanks</w:t>
      </w:r>
      <w:proofErr w:type="gramEnd"/>
      <w:r>
        <w:t>...</w:t>
      </w:r>
      <w:r>
        <w:rPr>
          <w:rFonts w:eastAsia="Times New Roman"/>
        </w:rPr>
        <w:t xml:space="preserve">”  </w:t>
      </w:r>
      <w:proofErr w:type="gramStart"/>
      <w:r>
        <w:t>Instead,try</w:t>
      </w:r>
      <w:proofErr w:type="gramEnd"/>
      <w:r>
        <w:rPr>
          <w:rFonts w:eastAsia="Times New Roman"/>
        </w:rPr>
        <w:t>“</w:t>
      </w:r>
      <w:r>
        <w:t>R.B.</w:t>
      </w:r>
      <w:proofErr w:type="gramStart"/>
      <w:r>
        <w:t>G.thanks</w:t>
      </w:r>
      <w:r>
        <w:rPr>
          <w:rFonts w:eastAsia="Times New Roman"/>
        </w:rPr>
        <w:t>”</w:t>
      </w:r>
      <w:r>
        <w:t>.Putapplicablesponsoracknowledgmentshere</w:t>
      </w:r>
      <w:proofErr w:type="gramEnd"/>
      <w:r>
        <w:t>;DONOTplacethemonthefirstpageofyourpaperorasafootnote.</w:t>
      </w:r>
    </w:p>
    <w:p w14:paraId="64EADFC6" w14:textId="77777777" w:rsidR="00692375" w:rsidRPr="002C60BB" w:rsidRDefault="007D522D" w:rsidP="002C60BB">
      <w:pPr>
        <w:pStyle w:val="Heading1"/>
        <w:tabs>
          <w:tab w:val="clear" w:pos="0"/>
        </w:tabs>
        <w:ind w:firstLine="0"/>
        <w:jc w:val="left"/>
        <w:rPr>
          <w:b/>
        </w:rPr>
      </w:pPr>
      <w:r w:rsidRPr="002C60BB">
        <w:rPr>
          <w:b/>
        </w:rPr>
        <w:t>References</w:t>
      </w:r>
    </w:p>
    <w:p w14:paraId="21979AE7" w14:textId="77777777" w:rsidR="00C26B91" w:rsidRDefault="00C26B91" w:rsidP="00C26B91">
      <w:pPr>
        <w:ind w:left="270" w:hanging="270"/>
        <w:jc w:val="both"/>
        <w:rPr>
          <w:b/>
          <w:bCs/>
        </w:rPr>
      </w:pPr>
      <w:r>
        <w:rPr>
          <w:b/>
          <w:bCs/>
        </w:rPr>
        <w:t xml:space="preserve">[1] </w:t>
      </w:r>
      <w:r w:rsidRPr="00691748">
        <w:t>Ali, A. 2001.Macroeconomic variables as common pervasive risk factors and the empirical content of the Arbitrage Pricing Theory. Journal of Empirical finance, 5(3): 221–240.</w:t>
      </w:r>
    </w:p>
    <w:p w14:paraId="501E5FF1" w14:textId="77777777" w:rsidR="00C26B91" w:rsidRDefault="00C26B91" w:rsidP="00C26B91">
      <w:pPr>
        <w:ind w:left="270" w:hanging="270"/>
        <w:jc w:val="both"/>
        <w:rPr>
          <w:b/>
          <w:bCs/>
        </w:rPr>
      </w:pPr>
      <w:r>
        <w:rPr>
          <w:b/>
          <w:bCs/>
        </w:rPr>
        <w:t xml:space="preserve">[2] </w:t>
      </w:r>
      <w:r w:rsidRPr="00691748">
        <w:t>Basu, S. 1997. The Investment Performance of Common Stocks in Relation to their Price to Earnings Ratio: A Test of the Efficient Markets Hypothesis. Journal of Finance, 33(3): 663-682.</w:t>
      </w:r>
    </w:p>
    <w:p w14:paraId="38537A17" w14:textId="77777777" w:rsidR="00C26B91" w:rsidRDefault="00C26B91" w:rsidP="00C26B91">
      <w:pPr>
        <w:ind w:left="270" w:hanging="270"/>
        <w:jc w:val="both"/>
        <w:rPr>
          <w:b/>
          <w:bCs/>
        </w:rPr>
      </w:pPr>
      <w:r>
        <w:rPr>
          <w:b/>
          <w:bCs/>
        </w:rPr>
        <w:t xml:space="preserve">[3] </w:t>
      </w:r>
      <w:r w:rsidRPr="00691748">
        <w:t xml:space="preserve">Bhatti, U. and Hanif. M. 2010. Validity of Capital Assets Pricing </w:t>
      </w:r>
      <w:proofErr w:type="spellStart"/>
      <w:r w:rsidRPr="00691748">
        <w:t>Model.Evidence</w:t>
      </w:r>
      <w:proofErr w:type="spellEnd"/>
      <w:r w:rsidRPr="00691748">
        <w:t xml:space="preserve"> from KSE-</w:t>
      </w:r>
      <w:proofErr w:type="spellStart"/>
      <w:r w:rsidRPr="00691748">
        <w:t>Pakistan.European</w:t>
      </w:r>
      <w:proofErr w:type="spellEnd"/>
      <w:r w:rsidRPr="00691748">
        <w:t xml:space="preserve"> Journal of Economics, Finance and Administrative Science, 3 (20).</w:t>
      </w:r>
    </w:p>
    <w:p w14:paraId="2CAAA56E" w14:textId="6E371FD1" w:rsidR="001D0C00" w:rsidRDefault="001D0C00" w:rsidP="001D0C00">
      <w:pPr>
        <w:jc w:val="both"/>
      </w:pPr>
    </w:p>
    <w:sectPr w:rsidR="001D0C00" w:rsidSect="001868E6">
      <w:headerReference w:type="default" r:id="rId9"/>
      <w:footerReference w:type="default" r:id="rId10"/>
      <w:type w:val="continuous"/>
      <w:pgSz w:w="11906" w:h="16838"/>
      <w:pgMar w:top="720" w:right="734" w:bottom="1080" w:left="734" w:header="270" w:footer="0" w:gutter="0"/>
      <w:pgNumType w:start="25"/>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8F57AA" w14:textId="77777777" w:rsidR="002B5FA5" w:rsidRDefault="002B5FA5" w:rsidP="003C5B4F">
      <w:r>
        <w:separator/>
      </w:r>
    </w:p>
  </w:endnote>
  <w:endnote w:type="continuationSeparator" w:id="0">
    <w:p w14:paraId="35CEEDC1" w14:textId="77777777" w:rsidR="002B5FA5" w:rsidRDefault="002B5FA5" w:rsidP="003C5B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DejaVu Sans">
    <w:charset w:val="80"/>
    <w:family w:val="auto"/>
    <w:pitch w:val="variable"/>
  </w:font>
  <w:font w:name="Lohit Hindi">
    <w:altName w:val="Yu Gothic"/>
    <w:charset w:val="80"/>
    <w:family w:val="auto"/>
    <w:pitch w:val="variable"/>
  </w:font>
  <w:font w:name="MS Mincho">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620" w:type="dxa"/>
      <w:jc w:val="center"/>
      <w:tblBorders>
        <w:top w:val="single" w:sz="4" w:space="0" w:color="auto"/>
        <w:bottom w:val="single" w:sz="4" w:space="0" w:color="auto"/>
        <w:insideH w:val="single" w:sz="4" w:space="0" w:color="auto"/>
        <w:insideV w:val="single" w:sz="4" w:space="0" w:color="auto"/>
      </w:tblBorders>
      <w:shd w:val="clear" w:color="auto" w:fill="433E70"/>
      <w:tblLayout w:type="fixed"/>
      <w:tblLook w:val="04A0" w:firstRow="1" w:lastRow="0" w:firstColumn="1" w:lastColumn="0" w:noHBand="0" w:noVBand="1"/>
    </w:tblPr>
    <w:tblGrid>
      <w:gridCol w:w="1871"/>
      <w:gridCol w:w="7658"/>
      <w:gridCol w:w="1091"/>
    </w:tblGrid>
    <w:tr w:rsidR="00DE3535" w14:paraId="6F7D0493" w14:textId="77777777" w:rsidTr="00DE48DE">
      <w:trPr>
        <w:trHeight w:val="405"/>
        <w:jc w:val="center"/>
      </w:trPr>
      <w:tc>
        <w:tcPr>
          <w:tcW w:w="1871" w:type="dxa"/>
          <w:shd w:val="clear" w:color="auto" w:fill="433E70"/>
          <w:vAlign w:val="center"/>
        </w:tcPr>
        <w:p w14:paraId="540FE916" w14:textId="70557619" w:rsidR="00DE3535" w:rsidRDefault="001D0C00" w:rsidP="00DE3535">
          <w:pPr>
            <w:pStyle w:val="Header"/>
            <w:rPr>
              <w:rFonts w:asciiTheme="majorHAnsi" w:hAnsiTheme="majorHAnsi" w:cs="Segoe UI"/>
              <w:b/>
              <w:bCs/>
            </w:rPr>
          </w:pPr>
          <w:proofErr w:type="spellStart"/>
          <w:r>
            <w:rPr>
              <w:rFonts w:asciiTheme="majorHAnsi" w:hAnsiTheme="majorHAnsi" w:cs="Segoe UI"/>
              <w:color w:val="FFFFFF" w:themeColor="background1"/>
            </w:rPr>
            <w:t>PaperID</w:t>
          </w:r>
          <w:proofErr w:type="spellEnd"/>
        </w:p>
      </w:tc>
      <w:tc>
        <w:tcPr>
          <w:tcW w:w="7658" w:type="dxa"/>
          <w:vAlign w:val="center"/>
        </w:tcPr>
        <w:p w14:paraId="016DDE64" w14:textId="7CB4BB5A" w:rsidR="00DE3535" w:rsidRDefault="00343396" w:rsidP="00DE48DE">
          <w:pPr>
            <w:pStyle w:val="Footer"/>
            <w:rPr>
              <w:rFonts w:asciiTheme="majorHAnsi" w:hAnsiTheme="majorHAnsi" w:cs="Segoe UI"/>
              <w:b/>
              <w:bCs/>
            </w:rPr>
          </w:pPr>
          <w:r w:rsidRPr="00343396">
            <w:rPr>
              <w:rFonts w:asciiTheme="majorHAnsi" w:hAnsiTheme="majorHAnsi" w:cs="Segoe UI"/>
              <w:bCs/>
            </w:rPr>
            <w:t>International Journal of Contemporary Research and Review</w:t>
          </w:r>
          <w:r w:rsidR="002C1C6B" w:rsidRPr="002C1C6B">
            <w:rPr>
              <w:rFonts w:asciiTheme="majorHAnsi" w:hAnsiTheme="majorHAnsi" w:cs="Segoe UI"/>
              <w:bCs/>
            </w:rPr>
            <w:t xml:space="preserve"> </w:t>
          </w:r>
          <w:r w:rsidR="00DE3535">
            <w:rPr>
              <w:rFonts w:asciiTheme="majorHAnsi" w:hAnsiTheme="majorHAnsi" w:cs="Segoe UI"/>
              <w:bCs/>
            </w:rPr>
            <w:t>(</w:t>
          </w:r>
          <w:r w:rsidRPr="00343396">
            <w:t>https://ijcrrmfs.info/</w:t>
          </w:r>
          <w:r w:rsidR="00DE3535">
            <w:rPr>
              <w:rFonts w:asciiTheme="majorHAnsi" w:hAnsiTheme="majorHAnsi" w:cs="Segoe UI"/>
              <w:bCs/>
            </w:rPr>
            <w:t>)</w:t>
          </w:r>
        </w:p>
      </w:tc>
      <w:tc>
        <w:tcPr>
          <w:tcW w:w="1091" w:type="dxa"/>
          <w:shd w:val="clear" w:color="auto" w:fill="433E70"/>
          <w:vAlign w:val="center"/>
        </w:tcPr>
        <w:p w14:paraId="6EF95D4B" w14:textId="318B99D6" w:rsidR="00DE3535" w:rsidRDefault="00DE3535" w:rsidP="00DE3535">
          <w:pPr>
            <w:pStyle w:val="Header"/>
            <w:rPr>
              <w:rFonts w:asciiTheme="majorHAnsi" w:hAnsiTheme="majorHAnsi" w:cs="Segoe UI"/>
              <w:color w:val="FFFFFF" w:themeColor="background1"/>
            </w:rPr>
          </w:pPr>
          <w:r>
            <w:rPr>
              <w:noProof/>
              <w:lang w:eastAsia="en-US"/>
            </w:rPr>
            <mc:AlternateContent>
              <mc:Choice Requires="wps">
                <w:drawing>
                  <wp:anchor distT="0" distB="0" distL="114300" distR="114300" simplePos="0" relativeHeight="251662848" behindDoc="0" locked="0" layoutInCell="1" allowOverlap="1" wp14:anchorId="567B8961" wp14:editId="1354A6B1">
                    <wp:simplePos x="0" y="0"/>
                    <wp:positionH relativeFrom="margin">
                      <wp:align>center</wp:align>
                    </wp:positionH>
                    <wp:positionV relativeFrom="paragraph">
                      <wp:posOffset>43180</wp:posOffset>
                    </wp:positionV>
                    <wp:extent cx="292735" cy="160655"/>
                    <wp:effectExtent l="0" t="0" r="0" b="0"/>
                    <wp:wrapNone/>
                    <wp:docPr id="52"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2735" cy="160655"/>
                            </a:xfrm>
                            <a:prstGeom prst="rect">
                              <a:avLst/>
                            </a:prstGeom>
                            <a:noFill/>
                            <a:ln w="6350">
                              <a:noFill/>
                            </a:ln>
                            <a:effectLst/>
                          </wps:spPr>
                          <wps:txbx>
                            <w:txbxContent>
                              <w:p w14:paraId="5C523DA8" w14:textId="36A066CF" w:rsidR="00DE3535" w:rsidRDefault="00DE3535" w:rsidP="00DE3535">
                                <w:pPr>
                                  <w:pStyle w:val="Header"/>
                                </w:pPr>
                                <w:r>
                                  <w:rPr>
                                    <w:rFonts w:asciiTheme="majorHAnsi" w:hAnsiTheme="majorHAnsi" w:cs="Segoe UI"/>
                                    <w:color w:val="FFFFFF" w:themeColor="background1"/>
                                  </w:rPr>
                                  <w:fldChar w:fldCharType="begin"/>
                                </w:r>
                                <w:r>
                                  <w:rPr>
                                    <w:rFonts w:asciiTheme="majorHAnsi" w:hAnsiTheme="majorHAnsi" w:cs="Segoe UI"/>
                                    <w:color w:val="FFFFFF" w:themeColor="background1"/>
                                  </w:rPr>
                                  <w:instrText xml:space="preserve"> PAGE   \* MERGEFORMAT </w:instrText>
                                </w:r>
                                <w:r>
                                  <w:rPr>
                                    <w:rFonts w:asciiTheme="majorHAnsi" w:hAnsiTheme="majorHAnsi" w:cs="Segoe UI"/>
                                    <w:color w:val="FFFFFF" w:themeColor="background1"/>
                                  </w:rPr>
                                  <w:fldChar w:fldCharType="separate"/>
                                </w:r>
                                <w:r w:rsidR="00573EC2">
                                  <w:rPr>
                                    <w:rFonts w:asciiTheme="majorHAnsi" w:hAnsiTheme="majorHAnsi" w:cs="Segoe UI"/>
                                    <w:noProof/>
                                    <w:color w:val="FFFFFF" w:themeColor="background1"/>
                                  </w:rPr>
                                  <w:t>25</w:t>
                                </w:r>
                                <w:r>
                                  <w:rPr>
                                    <w:rFonts w:asciiTheme="majorHAnsi" w:hAnsiTheme="majorHAnsi" w:cs="Segoe UI"/>
                                    <w:color w:val="FFFFFF" w:themeColor="background1"/>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14:sizeRelH relativeFrom="page">
                      <wp14:pctWidth>0</wp14:pctWidth>
                    </wp14:sizeRelH>
                    <wp14:sizeRelV relativeFrom="page">
                      <wp14:pctHeight>0</wp14:pctHeight>
                    </wp14:sizeRelV>
                  </wp:anchor>
                </w:drawing>
              </mc:Choice>
              <mc:Fallback>
                <w:pict>
                  <v:shapetype w14:anchorId="567B8961" id="_x0000_t202" coordsize="21600,21600" o:spt="202" path="m,l,21600r21600,l21600,xe">
                    <v:stroke joinstyle="miter"/>
                    <v:path gradientshapeok="t" o:connecttype="rect"/>
                  </v:shapetype>
                  <v:shape id="Text Box 52" o:spid="_x0000_s1026" type="#_x0000_t202" style="position:absolute;left:0;text-align:left;margin-left:0;margin-top:3.4pt;width:23.05pt;height:12.65pt;z-index:25166284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" filled="f" stroked="f" strokeweight=".5pt">
                    <v:textbox inset="0,0,0,0">
                      <w:txbxContent>
                        <w:p w14:paraId="5C523DA8" w14:textId="36A066CF" w:rsidR="00DE3535" w:rsidRDefault="00DE3535" w:rsidP="00DE3535">
                          <w:pPr>
                            <w:pStyle w:val="Header"/>
                          </w:pPr>
                          <w:r>
                            <w:rPr>
                              <w:rFonts w:asciiTheme="majorHAnsi" w:hAnsiTheme="majorHAnsi" w:cs="Segoe UI"/>
                              <w:color w:val="FFFFFF" w:themeColor="background1"/>
                            </w:rPr>
                            <w:fldChar w:fldCharType="begin"/>
                          </w:r>
                          <w:r>
                            <w:rPr>
                              <w:rFonts w:asciiTheme="majorHAnsi" w:hAnsiTheme="majorHAnsi" w:cs="Segoe UI"/>
                              <w:color w:val="FFFFFF" w:themeColor="background1"/>
                            </w:rPr>
                            <w:instrText xml:space="preserve"> PAGE   \* MERGEFORMAT </w:instrText>
                          </w:r>
                          <w:r>
                            <w:rPr>
                              <w:rFonts w:asciiTheme="majorHAnsi" w:hAnsiTheme="majorHAnsi" w:cs="Segoe UI"/>
                              <w:color w:val="FFFFFF" w:themeColor="background1"/>
                            </w:rPr>
                            <w:fldChar w:fldCharType="separate"/>
                          </w:r>
                          <w:r w:rsidR="00573EC2">
                            <w:rPr>
                              <w:rFonts w:asciiTheme="majorHAnsi" w:hAnsiTheme="majorHAnsi" w:cs="Segoe UI"/>
                              <w:noProof/>
                              <w:color w:val="FFFFFF" w:themeColor="background1"/>
                            </w:rPr>
                            <w:t>25</w:t>
                          </w:r>
                          <w:r>
                            <w:rPr>
                              <w:rFonts w:asciiTheme="majorHAnsi" w:hAnsiTheme="majorHAnsi" w:cs="Segoe UI"/>
                              <w:color w:val="FFFFFF" w:themeColor="background1"/>
                            </w:rPr>
                            <w:fldChar w:fldCharType="end"/>
                          </w:r>
                        </w:p>
                      </w:txbxContent>
                    </v:textbox>
                    <w10:wrap anchorx="margin"/>
                  </v:shape>
                </w:pict>
              </mc:Fallback>
            </mc:AlternateContent>
          </w:r>
        </w:p>
      </w:tc>
    </w:tr>
  </w:tbl>
  <w:p w14:paraId="2A256A39" w14:textId="77777777" w:rsidR="00DE3535" w:rsidRDefault="00DE3535" w:rsidP="00DE353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02F150" w14:textId="77777777" w:rsidR="002B5FA5" w:rsidRDefault="002B5FA5" w:rsidP="003C5B4F">
      <w:r>
        <w:separator/>
      </w:r>
    </w:p>
  </w:footnote>
  <w:footnote w:type="continuationSeparator" w:id="0">
    <w:p w14:paraId="2E94C4DA" w14:textId="77777777" w:rsidR="002B5FA5" w:rsidRDefault="002B5FA5" w:rsidP="003C5B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1CB8B" w14:textId="70550F51" w:rsidR="003C5B4F" w:rsidRPr="00DE48DE" w:rsidRDefault="00DE48DE" w:rsidP="002C1C6B">
    <w:pPr>
      <w:pStyle w:val="Header"/>
      <w:jc w:val="right"/>
      <w:rPr>
        <w:color w:val="433E70"/>
      </w:rPr>
    </w:pPr>
    <w:r w:rsidRPr="00DE48DE">
      <w:rPr>
        <w:rFonts w:ascii="Cambria" w:hAnsi="Cambria"/>
        <w:color w:val="433E70"/>
      </w:rPr>
      <w:t xml:space="preserve">© 20XX </w:t>
    </w:r>
    <w:r w:rsidR="00343396" w:rsidRPr="00343396">
      <w:rPr>
        <w:rFonts w:ascii="Cambria" w:hAnsi="Cambria"/>
        <w:color w:val="433E70"/>
      </w:rPr>
      <w:t>IJCRR</w:t>
    </w:r>
    <w:r w:rsidR="002C1C6B" w:rsidRPr="00DE48DE">
      <w:rPr>
        <w:rFonts w:ascii="Cambria" w:hAnsi="Cambria"/>
        <w:color w:val="433E70"/>
      </w:rPr>
      <w:t xml:space="preserve"> | Volume X, Issu</w:t>
    </w:r>
    <w:r w:rsidRPr="00DE48DE">
      <w:rPr>
        <w:rFonts w:ascii="Cambria" w:hAnsi="Cambria"/>
        <w:color w:val="433E70"/>
      </w:rPr>
      <w:t xml:space="preserve">e X Month 20XX | ISSN: </w:t>
    </w:r>
    <w:r w:rsidR="00343396" w:rsidRPr="00343396">
      <w:rPr>
        <w:rFonts w:ascii="Cambria" w:hAnsi="Cambria"/>
        <w:color w:val="433E70"/>
      </w:rPr>
      <w:t>0976-4852</w:t>
    </w:r>
    <w:r w:rsidRPr="00DE48DE">
      <w:rPr>
        <w:rFonts w:ascii="Cambria" w:hAnsi="Cambria"/>
        <w:color w:val="433E70"/>
      </w:rPr>
      <w:t xml:space="preserve"> | </w:t>
    </w:r>
    <w:r w:rsidR="00343396" w:rsidRPr="00343396">
      <w:rPr>
        <w:rFonts w:ascii="Cambria" w:hAnsi="Cambria"/>
        <w:color w:val="433E70"/>
      </w:rPr>
      <w:t>ijcrrmfs.info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upperRoman"/>
      <w:suff w:val="space"/>
      <w:lvlText w:val="%1."/>
      <w:lvlJc w:val="center"/>
      <w:pPr>
        <w:tabs>
          <w:tab w:val="num" w:pos="0"/>
        </w:tabs>
        <w:ind w:left="0" w:firstLine="216"/>
      </w:pPr>
      <w:rPr>
        <w:rFonts w:cs="Times New Roman"/>
        <w:i w:val="0"/>
        <w:iCs w:val="0"/>
      </w:rPr>
    </w:lvl>
    <w:lvl w:ilvl="1">
      <w:start w:val="1"/>
      <w:numFmt w:val="upperLetter"/>
      <w:lvlText w:val="%2."/>
      <w:lvlJc w:val="left"/>
      <w:pPr>
        <w:tabs>
          <w:tab w:val="num" w:pos="227"/>
        </w:tabs>
        <w:ind w:left="288" w:hanging="288"/>
      </w:pPr>
      <w:rPr>
        <w:rFonts w:cs="Times New Roman"/>
      </w:rPr>
    </w:lvl>
    <w:lvl w:ilvl="2">
      <w:start w:val="1"/>
      <w:numFmt w:val="decimal"/>
      <w:lvlText w:val="%3)"/>
      <w:lvlJc w:val="left"/>
      <w:pPr>
        <w:tabs>
          <w:tab w:val="num" w:pos="425"/>
        </w:tabs>
        <w:ind w:left="0" w:firstLine="180"/>
      </w:pPr>
      <w:rPr>
        <w:rFonts w:cs="Times New Roman"/>
      </w:rPr>
    </w:lvl>
    <w:lvl w:ilvl="3">
      <w:start w:val="1"/>
      <w:numFmt w:val="lowerLetter"/>
      <w:lvlText w:val="%4)"/>
      <w:lvlJc w:val="left"/>
      <w:pPr>
        <w:tabs>
          <w:tab w:val="num" w:pos="630"/>
        </w:tabs>
        <w:ind w:left="0" w:firstLine="360"/>
      </w:pPr>
      <w:rPr>
        <w:rFonts w:ascii="Times New Roman" w:hAnsi="Times New Roman" w:cs="Times New Roman"/>
        <w:b w:val="0"/>
        <w:bCs w:val="0"/>
        <w:i/>
        <w:iCs/>
        <w:sz w:val="20"/>
        <w:szCs w:val="20"/>
      </w:rPr>
    </w:lvl>
    <w:lvl w:ilvl="4">
      <w:start w:val="1"/>
      <w:numFmt w:val="none"/>
      <w:suff w:val="nothing"/>
      <w:lvlText w:val=""/>
      <w:lvlJc w:val="left"/>
      <w:pPr>
        <w:tabs>
          <w:tab w:val="num" w:pos="0"/>
        </w:tabs>
        <w:ind w:left="2880" w:firstLine="0"/>
      </w:pPr>
      <w:rPr>
        <w:rFonts w:cs="Times New Roman"/>
      </w:rPr>
    </w:lvl>
    <w:lvl w:ilvl="5">
      <w:start w:val="1"/>
      <w:numFmt w:val="lowerLetter"/>
      <w:lvlText w:val="(%6)"/>
      <w:lvlJc w:val="left"/>
      <w:pPr>
        <w:tabs>
          <w:tab w:val="num" w:pos="3960"/>
        </w:tabs>
        <w:ind w:left="3600" w:firstLine="0"/>
      </w:pPr>
      <w:rPr>
        <w:rFonts w:cs="Times New Roman"/>
      </w:rPr>
    </w:lvl>
    <w:lvl w:ilvl="6">
      <w:start w:val="1"/>
      <w:numFmt w:val="lowerRoman"/>
      <w:lvlText w:val="(%7)"/>
      <w:lvlJc w:val="left"/>
      <w:pPr>
        <w:tabs>
          <w:tab w:val="num" w:pos="4680"/>
        </w:tabs>
        <w:ind w:left="4320" w:firstLine="0"/>
      </w:pPr>
      <w:rPr>
        <w:rFonts w:cs="Times New Roman"/>
      </w:rPr>
    </w:lvl>
    <w:lvl w:ilvl="7">
      <w:start w:val="1"/>
      <w:numFmt w:val="lowerLetter"/>
      <w:lvlText w:val="(%8)"/>
      <w:lvlJc w:val="left"/>
      <w:pPr>
        <w:tabs>
          <w:tab w:val="num" w:pos="5400"/>
        </w:tabs>
        <w:ind w:left="5040" w:firstLine="0"/>
      </w:pPr>
      <w:rPr>
        <w:rFonts w:cs="Times New Roman"/>
      </w:rPr>
    </w:lvl>
    <w:lvl w:ilvl="8">
      <w:start w:val="1"/>
      <w:numFmt w:val="lowerRoman"/>
      <w:lvlText w:val="(%9)"/>
      <w:lvlJc w:val="left"/>
      <w:pPr>
        <w:tabs>
          <w:tab w:val="num" w:pos="6120"/>
        </w:tabs>
        <w:ind w:left="5760" w:firstLine="0"/>
      </w:pPr>
      <w:rPr>
        <w:rFonts w:cs="Times New Roman"/>
      </w:rPr>
    </w:lvl>
  </w:abstractNum>
  <w:abstractNum w:abstractNumId="1" w15:restartNumberingAfterBreak="0">
    <w:nsid w:val="00000002"/>
    <w:multiLevelType w:val="singleLevel"/>
    <w:tmpl w:val="00000002"/>
    <w:name w:val="WW8Num2"/>
    <w:lvl w:ilvl="0">
      <w:start w:val="1"/>
      <w:numFmt w:val="decimal"/>
      <w:lvlText w:val="%1 "/>
      <w:lvlJc w:val="left"/>
      <w:rPr>
        <w:rFonts w:ascii="Times New Roman" w:hAnsi="Times New Roman" w:cs="Times New Roman"/>
        <w:b w:val="0"/>
        <w:bCs w:val="0"/>
        <w:i w:val="0"/>
        <w:iCs w:val="0"/>
        <w:caps w:val="0"/>
        <w:smallCaps w:val="0"/>
        <w:strike w:val="0"/>
        <w:dstrike w:val="0"/>
        <w:vanish w:val="0"/>
        <w:color w:val="000000"/>
        <w:sz w:val="16"/>
        <w:szCs w:val="16"/>
        <w:vertAlign w:val="superscript"/>
        <w14:shadow w14:blurRad="0" w14:dist="0" w14:dir="0" w14:sx="0" w14:sy="0" w14:kx="0" w14:ky="0" w14:algn="none">
          <w14:srgbClr w14:val="000000"/>
        </w14:shadow>
        <w14:textOutline w14:w="0" w14:cap="rnd" w14:cmpd="sng" w14:algn="ctr">
          <w14:noFill/>
          <w14:prstDash w14:val="solid"/>
          <w14:bevel/>
        </w14:textOutline>
      </w:rPr>
    </w:lvl>
  </w:abstractNum>
  <w:abstractNum w:abstractNumId="2" w15:restartNumberingAfterBreak="0">
    <w:nsid w:val="00000003"/>
    <w:multiLevelType w:val="singleLevel"/>
    <w:tmpl w:val="00000003"/>
    <w:name w:val="WW8Num3"/>
    <w:lvl w:ilvl="0">
      <w:start w:val="1"/>
      <w:numFmt w:val="bullet"/>
      <w:lvlText w:val=""/>
      <w:lvlJc w:val="left"/>
      <w:pPr>
        <w:tabs>
          <w:tab w:val="num" w:pos="648"/>
        </w:tabs>
        <w:ind w:left="648" w:hanging="360"/>
      </w:pPr>
      <w:rPr>
        <w:rFonts w:ascii="Symbol" w:hAnsi="Symbol" w:cs="Symbol"/>
      </w:rPr>
    </w:lvl>
  </w:abstractNum>
  <w:abstractNum w:abstractNumId="3" w15:restartNumberingAfterBreak="0">
    <w:nsid w:val="00000004"/>
    <w:multiLevelType w:val="singleLevel"/>
    <w:tmpl w:val="00000004"/>
    <w:name w:val="WW8Num4"/>
    <w:lvl w:ilvl="0">
      <w:start w:val="1"/>
      <w:numFmt w:val="decimal"/>
      <w:lvlText w:val="[%1]"/>
      <w:lvlJc w:val="left"/>
      <w:pPr>
        <w:tabs>
          <w:tab w:val="num" w:pos="360"/>
        </w:tabs>
        <w:ind w:left="360" w:hanging="360"/>
      </w:pPr>
      <w:rPr>
        <w:rFonts w:cs="Times New Roman"/>
      </w:rPr>
    </w:lvl>
  </w:abstractNum>
  <w:abstractNum w:abstractNumId="4" w15:restartNumberingAfterBreak="0">
    <w:nsid w:val="00000005"/>
    <w:multiLevelType w:val="singleLevel"/>
    <w:tmpl w:val="00000005"/>
    <w:name w:val="WW8Num5"/>
    <w:lvl w:ilvl="0">
      <w:start w:val="1"/>
      <w:numFmt w:val="upperRoman"/>
      <w:suff w:val="space"/>
      <w:lvlText w:val="TABLE %1. "/>
      <w:lvlJc w:val="left"/>
      <w:rPr>
        <w:rFonts w:ascii="Times New Roman" w:hAnsi="Times New Roman" w:cs="Times New Roman"/>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00000006"/>
    <w:multiLevelType w:val="singleLevel"/>
    <w:tmpl w:val="00000006"/>
    <w:name w:val="WW8Num6"/>
    <w:lvl w:ilvl="0">
      <w:start w:val="1"/>
      <w:numFmt w:val="decimal"/>
      <w:suff w:val="space"/>
      <w:lvlText w:val="Fig. %1. "/>
      <w:lvlJc w:val="left"/>
      <w:pPr>
        <w:tabs>
          <w:tab w:val="num" w:pos="0"/>
        </w:tabs>
        <w:ind w:left="360" w:hanging="360"/>
      </w:pPr>
      <w:rPr>
        <w:rFonts w:ascii="Times New Roman" w:hAnsi="Times New Roman" w:cs="Times New Roman"/>
        <w:b w:val="0"/>
        <w:bCs w:val="0"/>
        <w:i w:val="0"/>
        <w:iCs w:val="0"/>
        <w:sz w:val="16"/>
        <w:szCs w:val="16"/>
      </w:rPr>
    </w:lvl>
  </w:abstractNum>
  <w:abstractNum w:abstractNumId="6" w15:restartNumberingAfterBreak="0">
    <w:nsid w:val="29FF5267"/>
    <w:multiLevelType w:val="hybridMultilevel"/>
    <w:tmpl w:val="5EF40A8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40385735"/>
    <w:multiLevelType w:val="hybridMultilevel"/>
    <w:tmpl w:val="A4B2F418"/>
    <w:lvl w:ilvl="0" w:tplc="FCFCF5DE">
      <w:start w:val="1"/>
      <w:numFmt w:val="bullet"/>
      <w:lvlText w:val=""/>
      <w:lvlJc w:val="left"/>
      <w:pPr>
        <w:tabs>
          <w:tab w:val="num" w:pos="720"/>
        </w:tabs>
        <w:ind w:left="720" w:hanging="360"/>
      </w:pPr>
      <w:rPr>
        <w:rFonts w:ascii="Wingdings" w:hAnsi="Wingdings" w:hint="default"/>
      </w:rPr>
    </w:lvl>
    <w:lvl w:ilvl="1" w:tplc="E432DA1A" w:tentative="1">
      <w:start w:val="1"/>
      <w:numFmt w:val="bullet"/>
      <w:lvlText w:val=""/>
      <w:lvlJc w:val="left"/>
      <w:pPr>
        <w:tabs>
          <w:tab w:val="num" w:pos="1440"/>
        </w:tabs>
        <w:ind w:left="1440" w:hanging="360"/>
      </w:pPr>
      <w:rPr>
        <w:rFonts w:ascii="Wingdings" w:hAnsi="Wingdings" w:hint="default"/>
      </w:rPr>
    </w:lvl>
    <w:lvl w:ilvl="2" w:tplc="BC129A5A" w:tentative="1">
      <w:start w:val="1"/>
      <w:numFmt w:val="bullet"/>
      <w:lvlText w:val=""/>
      <w:lvlJc w:val="left"/>
      <w:pPr>
        <w:tabs>
          <w:tab w:val="num" w:pos="2160"/>
        </w:tabs>
        <w:ind w:left="2160" w:hanging="360"/>
      </w:pPr>
      <w:rPr>
        <w:rFonts w:ascii="Wingdings" w:hAnsi="Wingdings" w:hint="default"/>
      </w:rPr>
    </w:lvl>
    <w:lvl w:ilvl="3" w:tplc="FE7EECB6" w:tentative="1">
      <w:start w:val="1"/>
      <w:numFmt w:val="bullet"/>
      <w:lvlText w:val=""/>
      <w:lvlJc w:val="left"/>
      <w:pPr>
        <w:tabs>
          <w:tab w:val="num" w:pos="2880"/>
        </w:tabs>
        <w:ind w:left="2880" w:hanging="360"/>
      </w:pPr>
      <w:rPr>
        <w:rFonts w:ascii="Wingdings" w:hAnsi="Wingdings" w:hint="default"/>
      </w:rPr>
    </w:lvl>
    <w:lvl w:ilvl="4" w:tplc="C7DAB348" w:tentative="1">
      <w:start w:val="1"/>
      <w:numFmt w:val="bullet"/>
      <w:lvlText w:val=""/>
      <w:lvlJc w:val="left"/>
      <w:pPr>
        <w:tabs>
          <w:tab w:val="num" w:pos="3600"/>
        </w:tabs>
        <w:ind w:left="3600" w:hanging="360"/>
      </w:pPr>
      <w:rPr>
        <w:rFonts w:ascii="Wingdings" w:hAnsi="Wingdings" w:hint="default"/>
      </w:rPr>
    </w:lvl>
    <w:lvl w:ilvl="5" w:tplc="72DCF3B4" w:tentative="1">
      <w:start w:val="1"/>
      <w:numFmt w:val="bullet"/>
      <w:lvlText w:val=""/>
      <w:lvlJc w:val="left"/>
      <w:pPr>
        <w:tabs>
          <w:tab w:val="num" w:pos="4320"/>
        </w:tabs>
        <w:ind w:left="4320" w:hanging="360"/>
      </w:pPr>
      <w:rPr>
        <w:rFonts w:ascii="Wingdings" w:hAnsi="Wingdings" w:hint="default"/>
      </w:rPr>
    </w:lvl>
    <w:lvl w:ilvl="6" w:tplc="FFF4DA2A" w:tentative="1">
      <w:start w:val="1"/>
      <w:numFmt w:val="bullet"/>
      <w:lvlText w:val=""/>
      <w:lvlJc w:val="left"/>
      <w:pPr>
        <w:tabs>
          <w:tab w:val="num" w:pos="5040"/>
        </w:tabs>
        <w:ind w:left="5040" w:hanging="360"/>
      </w:pPr>
      <w:rPr>
        <w:rFonts w:ascii="Wingdings" w:hAnsi="Wingdings" w:hint="default"/>
      </w:rPr>
    </w:lvl>
    <w:lvl w:ilvl="7" w:tplc="18C46132" w:tentative="1">
      <w:start w:val="1"/>
      <w:numFmt w:val="bullet"/>
      <w:lvlText w:val=""/>
      <w:lvlJc w:val="left"/>
      <w:pPr>
        <w:tabs>
          <w:tab w:val="num" w:pos="5760"/>
        </w:tabs>
        <w:ind w:left="5760" w:hanging="360"/>
      </w:pPr>
      <w:rPr>
        <w:rFonts w:ascii="Wingdings" w:hAnsi="Wingdings" w:hint="default"/>
      </w:rPr>
    </w:lvl>
    <w:lvl w:ilvl="8" w:tplc="50E276E2"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6534A5E"/>
    <w:multiLevelType w:val="hybridMultilevel"/>
    <w:tmpl w:val="C7E8AE20"/>
    <w:lvl w:ilvl="0" w:tplc="0C7A1186">
      <w:start w:val="1"/>
      <w:numFmt w:val="upperRoman"/>
      <w:lvlText w:val="%1."/>
      <w:lvlJc w:val="left"/>
      <w:pPr>
        <w:ind w:left="810" w:hanging="72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9" w15:restartNumberingAfterBreak="0">
    <w:nsid w:val="7E166296"/>
    <w:multiLevelType w:val="hybridMultilevel"/>
    <w:tmpl w:val="A50A0FA2"/>
    <w:lvl w:ilvl="0" w:tplc="282EC6DC">
      <w:start w:val="1"/>
      <w:numFmt w:val="decimal"/>
      <w:lvlText w:val="[%1]"/>
      <w:lvlJc w:val="left"/>
      <w:pPr>
        <w:ind w:left="360" w:hanging="360"/>
      </w:pPr>
      <w:rPr>
        <w:rFonts w:hint="default"/>
      </w:rPr>
    </w:lvl>
    <w:lvl w:ilvl="1" w:tplc="F64A3D36">
      <w:start w:val="1"/>
      <w:numFmt w:val="upperRoman"/>
      <w:lvlText w:val="%2."/>
      <w:lvlJc w:val="left"/>
      <w:pPr>
        <w:ind w:left="1440" w:hanging="72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451747717">
    <w:abstractNumId w:val="0"/>
  </w:num>
  <w:num w:numId="2" w16cid:durableId="1969503299">
    <w:abstractNumId w:val="1"/>
  </w:num>
  <w:num w:numId="3" w16cid:durableId="1765146965">
    <w:abstractNumId w:val="2"/>
  </w:num>
  <w:num w:numId="4" w16cid:durableId="1320423207">
    <w:abstractNumId w:val="3"/>
  </w:num>
  <w:num w:numId="5" w16cid:durableId="1829788532">
    <w:abstractNumId w:val="4"/>
  </w:num>
  <w:num w:numId="6" w16cid:durableId="53892213">
    <w:abstractNumId w:val="5"/>
  </w:num>
  <w:num w:numId="7" w16cid:durableId="2111970274">
    <w:abstractNumId w:val="0"/>
  </w:num>
  <w:num w:numId="8" w16cid:durableId="1894853667">
    <w:abstractNumId w:val="9"/>
  </w:num>
  <w:num w:numId="9" w16cid:durableId="421726162">
    <w:abstractNumId w:val="8"/>
  </w:num>
  <w:num w:numId="10" w16cid:durableId="1520122346">
    <w:abstractNumId w:val="7"/>
  </w:num>
  <w:num w:numId="11" w16cid:durableId="26819679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100"/>
  <w:drawingGridVerticalSpacing w:val="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32D7"/>
    <w:rsid w:val="00006D28"/>
    <w:rsid w:val="00016C60"/>
    <w:rsid w:val="000334C0"/>
    <w:rsid w:val="000551EB"/>
    <w:rsid w:val="0008478E"/>
    <w:rsid w:val="000909A4"/>
    <w:rsid w:val="00090C51"/>
    <w:rsid w:val="00090F66"/>
    <w:rsid w:val="00092B52"/>
    <w:rsid w:val="000A1397"/>
    <w:rsid w:val="000B7341"/>
    <w:rsid w:val="001348C1"/>
    <w:rsid w:val="00155BA8"/>
    <w:rsid w:val="001611D6"/>
    <w:rsid w:val="001868E6"/>
    <w:rsid w:val="001965AF"/>
    <w:rsid w:val="001A1321"/>
    <w:rsid w:val="001D0C00"/>
    <w:rsid w:val="001F0D66"/>
    <w:rsid w:val="00227F35"/>
    <w:rsid w:val="00231136"/>
    <w:rsid w:val="00237F10"/>
    <w:rsid w:val="002B5FA5"/>
    <w:rsid w:val="002C193A"/>
    <w:rsid w:val="002C1C6B"/>
    <w:rsid w:val="002C60BB"/>
    <w:rsid w:val="002D0803"/>
    <w:rsid w:val="002F4DA0"/>
    <w:rsid w:val="00315A5D"/>
    <w:rsid w:val="003165B7"/>
    <w:rsid w:val="00324A8C"/>
    <w:rsid w:val="00343396"/>
    <w:rsid w:val="003659F6"/>
    <w:rsid w:val="0037519A"/>
    <w:rsid w:val="00384A58"/>
    <w:rsid w:val="003867C1"/>
    <w:rsid w:val="003A4DBC"/>
    <w:rsid w:val="003B49B2"/>
    <w:rsid w:val="003C5B4F"/>
    <w:rsid w:val="00404997"/>
    <w:rsid w:val="00422153"/>
    <w:rsid w:val="00426065"/>
    <w:rsid w:val="00426691"/>
    <w:rsid w:val="00437460"/>
    <w:rsid w:val="00440668"/>
    <w:rsid w:val="004725AD"/>
    <w:rsid w:val="0048617F"/>
    <w:rsid w:val="004959E9"/>
    <w:rsid w:val="004B0F55"/>
    <w:rsid w:val="004C32D7"/>
    <w:rsid w:val="00515B09"/>
    <w:rsid w:val="00541F15"/>
    <w:rsid w:val="00573EC2"/>
    <w:rsid w:val="00580A4A"/>
    <w:rsid w:val="00582298"/>
    <w:rsid w:val="00594FA0"/>
    <w:rsid w:val="005A173D"/>
    <w:rsid w:val="005E150E"/>
    <w:rsid w:val="005E1EA1"/>
    <w:rsid w:val="005E35DE"/>
    <w:rsid w:val="00602C71"/>
    <w:rsid w:val="006112BB"/>
    <w:rsid w:val="0063041E"/>
    <w:rsid w:val="00655E23"/>
    <w:rsid w:val="00655F3C"/>
    <w:rsid w:val="00682140"/>
    <w:rsid w:val="00692375"/>
    <w:rsid w:val="00692A38"/>
    <w:rsid w:val="006A0CBE"/>
    <w:rsid w:val="006C27A4"/>
    <w:rsid w:val="006C5DAA"/>
    <w:rsid w:val="006E039D"/>
    <w:rsid w:val="0070086A"/>
    <w:rsid w:val="007079C8"/>
    <w:rsid w:val="00737E30"/>
    <w:rsid w:val="00744FBA"/>
    <w:rsid w:val="00782518"/>
    <w:rsid w:val="00782763"/>
    <w:rsid w:val="007D452E"/>
    <w:rsid w:val="007D522D"/>
    <w:rsid w:val="007E3E33"/>
    <w:rsid w:val="007E4755"/>
    <w:rsid w:val="008572F1"/>
    <w:rsid w:val="00860DA1"/>
    <w:rsid w:val="00872542"/>
    <w:rsid w:val="00883331"/>
    <w:rsid w:val="008A6539"/>
    <w:rsid w:val="008C48BD"/>
    <w:rsid w:val="008D547A"/>
    <w:rsid w:val="00905B07"/>
    <w:rsid w:val="00923A61"/>
    <w:rsid w:val="00947495"/>
    <w:rsid w:val="00991FA3"/>
    <w:rsid w:val="00997A62"/>
    <w:rsid w:val="009A4384"/>
    <w:rsid w:val="009C044D"/>
    <w:rsid w:val="009E0DB6"/>
    <w:rsid w:val="00A071CD"/>
    <w:rsid w:val="00A1438C"/>
    <w:rsid w:val="00A74A9A"/>
    <w:rsid w:val="00A9368B"/>
    <w:rsid w:val="00A96917"/>
    <w:rsid w:val="00B2063E"/>
    <w:rsid w:val="00B2483C"/>
    <w:rsid w:val="00B44AEB"/>
    <w:rsid w:val="00B50533"/>
    <w:rsid w:val="00B51093"/>
    <w:rsid w:val="00B82EDE"/>
    <w:rsid w:val="00BA620B"/>
    <w:rsid w:val="00BB1755"/>
    <w:rsid w:val="00BB246A"/>
    <w:rsid w:val="00BD67B6"/>
    <w:rsid w:val="00C020F5"/>
    <w:rsid w:val="00C03BCA"/>
    <w:rsid w:val="00C15795"/>
    <w:rsid w:val="00C23B92"/>
    <w:rsid w:val="00C26B91"/>
    <w:rsid w:val="00C32C53"/>
    <w:rsid w:val="00C62F4C"/>
    <w:rsid w:val="00C804AA"/>
    <w:rsid w:val="00C86848"/>
    <w:rsid w:val="00C9534D"/>
    <w:rsid w:val="00C9681C"/>
    <w:rsid w:val="00CB2186"/>
    <w:rsid w:val="00CB7206"/>
    <w:rsid w:val="00D21527"/>
    <w:rsid w:val="00D26A36"/>
    <w:rsid w:val="00D26FD1"/>
    <w:rsid w:val="00D31EC3"/>
    <w:rsid w:val="00D71D91"/>
    <w:rsid w:val="00D836FA"/>
    <w:rsid w:val="00DA1C9C"/>
    <w:rsid w:val="00DE3535"/>
    <w:rsid w:val="00DE48DE"/>
    <w:rsid w:val="00E12EBA"/>
    <w:rsid w:val="00EF683D"/>
    <w:rsid w:val="00F06556"/>
    <w:rsid w:val="00F219F1"/>
    <w:rsid w:val="00F2713B"/>
    <w:rsid w:val="00F350F9"/>
    <w:rsid w:val="00F4168E"/>
    <w:rsid w:val="00FB1E65"/>
    <w:rsid w:val="00FE1469"/>
    <w:rsid w:val="00FE439F"/>
    <w:rsid w:val="00FE5D4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1AE554C6"/>
  <w15:docId w15:val="{C52E7E7A-1DE1-42EB-A488-C3B1ECF71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2375"/>
    <w:pPr>
      <w:suppressAutoHyphens/>
      <w:jc w:val="center"/>
    </w:pPr>
    <w:rPr>
      <w:rFonts w:eastAsia="SimSun"/>
      <w:lang w:eastAsia="zh-CN"/>
    </w:rPr>
  </w:style>
  <w:style w:type="paragraph" w:styleId="Heading1">
    <w:name w:val="heading 1"/>
    <w:basedOn w:val="Normal"/>
    <w:next w:val="BodyText"/>
    <w:qFormat/>
    <w:rsid w:val="00692375"/>
    <w:pPr>
      <w:keepNext/>
      <w:keepLines/>
      <w:tabs>
        <w:tab w:val="num" w:pos="0"/>
        <w:tab w:val="left" w:pos="216"/>
        <w:tab w:val="left" w:pos="283"/>
        <w:tab w:val="left" w:pos="340"/>
        <w:tab w:val="left" w:pos="397"/>
      </w:tabs>
      <w:spacing w:before="160" w:after="80"/>
      <w:ind w:firstLine="216"/>
      <w:outlineLvl w:val="0"/>
    </w:pPr>
    <w:rPr>
      <w:smallCaps/>
      <w:lang w:eastAsia="en-US"/>
    </w:rPr>
  </w:style>
  <w:style w:type="paragraph" w:styleId="Heading2">
    <w:name w:val="heading 2"/>
    <w:basedOn w:val="Normal"/>
    <w:next w:val="BodyText"/>
    <w:qFormat/>
    <w:rsid w:val="00692375"/>
    <w:pPr>
      <w:keepNext/>
      <w:keepLines/>
      <w:tabs>
        <w:tab w:val="num" w:pos="227"/>
      </w:tabs>
      <w:spacing w:before="120" w:after="60"/>
      <w:ind w:left="288" w:hanging="288"/>
      <w:jc w:val="left"/>
      <w:outlineLvl w:val="1"/>
    </w:pPr>
    <w:rPr>
      <w:i/>
      <w:iCs/>
      <w:lang w:eastAsia="en-US"/>
    </w:rPr>
  </w:style>
  <w:style w:type="paragraph" w:styleId="Heading3">
    <w:name w:val="heading 3"/>
    <w:basedOn w:val="Normal"/>
    <w:next w:val="BodyText"/>
    <w:qFormat/>
    <w:rsid w:val="00692375"/>
    <w:pPr>
      <w:tabs>
        <w:tab w:val="num" w:pos="425"/>
        <w:tab w:val="left" w:pos="540"/>
      </w:tabs>
      <w:spacing w:line="240" w:lineRule="exact"/>
      <w:ind w:firstLine="180"/>
      <w:jc w:val="both"/>
      <w:outlineLvl w:val="2"/>
    </w:pPr>
    <w:rPr>
      <w:i/>
      <w:iCs/>
      <w:lang w:eastAsia="en-US"/>
    </w:rPr>
  </w:style>
  <w:style w:type="paragraph" w:styleId="Heading4">
    <w:name w:val="heading 4"/>
    <w:basedOn w:val="Normal"/>
    <w:next w:val="BodyText"/>
    <w:qFormat/>
    <w:rsid w:val="00692375"/>
    <w:pPr>
      <w:tabs>
        <w:tab w:val="num" w:pos="630"/>
        <w:tab w:val="left" w:pos="720"/>
      </w:tabs>
      <w:spacing w:before="40" w:after="40"/>
      <w:ind w:firstLine="360"/>
      <w:jc w:val="both"/>
      <w:outlineLvl w:val="3"/>
    </w:pPr>
    <w:rPr>
      <w:i/>
      <w:iCs/>
      <w:lang w:eastAsia="en-US"/>
    </w:rPr>
  </w:style>
  <w:style w:type="paragraph" w:styleId="Heading5">
    <w:name w:val="heading 5"/>
    <w:basedOn w:val="Normal"/>
    <w:next w:val="BodyText"/>
    <w:qFormat/>
    <w:rsid w:val="00692375"/>
    <w:pPr>
      <w:tabs>
        <w:tab w:val="left" w:pos="360"/>
      </w:tabs>
      <w:spacing w:before="160" w:after="80"/>
      <w:outlineLvl w:val="4"/>
    </w:pPr>
    <w:rPr>
      <w:smallCaps/>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sid w:val="00692375"/>
    <w:rPr>
      <w:rFonts w:cs="Times New Roman"/>
      <w:i w:val="0"/>
      <w:iCs w:val="0"/>
    </w:rPr>
  </w:style>
  <w:style w:type="character" w:customStyle="1" w:styleId="WW8Num1z1">
    <w:name w:val="WW8Num1z1"/>
    <w:rsid w:val="00692375"/>
    <w:rPr>
      <w:rFonts w:cs="Times New Roman"/>
    </w:rPr>
  </w:style>
  <w:style w:type="character" w:customStyle="1" w:styleId="WW8Num1z3">
    <w:name w:val="WW8Num1z3"/>
    <w:rsid w:val="00692375"/>
    <w:rPr>
      <w:rFonts w:ascii="Times New Roman" w:hAnsi="Times New Roman" w:cs="Times New Roman"/>
      <w:b w:val="0"/>
      <w:bCs w:val="0"/>
      <w:i/>
      <w:iCs/>
      <w:sz w:val="20"/>
      <w:szCs w:val="20"/>
    </w:rPr>
  </w:style>
  <w:style w:type="character" w:customStyle="1" w:styleId="WW8Num2z0">
    <w:name w:val="WW8Num2z0"/>
    <w:rsid w:val="00692375"/>
    <w:rPr>
      <w:rFonts w:ascii="Times New Roman" w:hAnsi="Times New Roman" w:cs="Times New Roman"/>
      <w:b w:val="0"/>
      <w:bCs w:val="0"/>
      <w:i w:val="0"/>
      <w:iCs w:val="0"/>
      <w:caps w:val="0"/>
      <w:smallCaps w:val="0"/>
      <w:strike w:val="0"/>
      <w:dstrike w:val="0"/>
      <w:vanish w:val="0"/>
      <w:color w:val="000000"/>
      <w:sz w:val="16"/>
      <w:szCs w:val="16"/>
      <w:vertAlign w:val="superscript"/>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3z0">
    <w:name w:val="WW8Num3z0"/>
    <w:rsid w:val="00692375"/>
    <w:rPr>
      <w:rFonts w:ascii="Symbol" w:hAnsi="Symbol" w:cs="Symbol"/>
    </w:rPr>
  </w:style>
  <w:style w:type="character" w:customStyle="1" w:styleId="WW8Num4z0">
    <w:name w:val="WW8Num4z0"/>
    <w:rsid w:val="00692375"/>
    <w:rPr>
      <w:rFonts w:cs="Times New Roman"/>
    </w:rPr>
  </w:style>
  <w:style w:type="character" w:customStyle="1" w:styleId="WW8Num5z0">
    <w:name w:val="WW8Num5z0"/>
    <w:rsid w:val="00692375"/>
    <w:rPr>
      <w:rFonts w:ascii="Times New Roman" w:hAnsi="Times New Roman" w:cs="Times New Roman"/>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6z0">
    <w:name w:val="WW8Num6z0"/>
    <w:rsid w:val="00692375"/>
    <w:rPr>
      <w:rFonts w:ascii="Times New Roman" w:hAnsi="Times New Roman" w:cs="Times New Roman"/>
      <w:b w:val="0"/>
      <w:bCs w:val="0"/>
      <w:i w:val="0"/>
      <w:iCs w:val="0"/>
      <w:sz w:val="16"/>
      <w:szCs w:val="16"/>
    </w:rPr>
  </w:style>
  <w:style w:type="character" w:customStyle="1" w:styleId="Absatz-Standardschriftart">
    <w:name w:val="Absatz-Standardschriftart"/>
    <w:rsid w:val="00692375"/>
  </w:style>
  <w:style w:type="character" w:customStyle="1" w:styleId="WW8Num7z0">
    <w:name w:val="WW8Num7z0"/>
    <w:rsid w:val="00692375"/>
    <w:rPr>
      <w:rFonts w:ascii="Times New Roman" w:hAnsi="Times New Roman" w:cs="Times New Roman"/>
      <w:b w:val="0"/>
      <w:bCs w:val="0"/>
      <w:i w:val="0"/>
      <w:iCs w:val="0"/>
      <w:color w:val="auto"/>
      <w:sz w:val="16"/>
      <w:szCs w:val="16"/>
    </w:rPr>
  </w:style>
  <w:style w:type="character" w:customStyle="1" w:styleId="WW-DefaultParagraphFont">
    <w:name w:val="WW-Default Paragraph Font"/>
    <w:rsid w:val="00692375"/>
  </w:style>
  <w:style w:type="character" w:customStyle="1" w:styleId="WW-Absatz-Standardschriftart">
    <w:name w:val="WW-Absatz-Standardschriftart"/>
    <w:rsid w:val="00692375"/>
  </w:style>
  <w:style w:type="character" w:customStyle="1" w:styleId="WW-Absatz-Standardschriftart1">
    <w:name w:val="WW-Absatz-Standardschriftart1"/>
    <w:rsid w:val="00692375"/>
  </w:style>
  <w:style w:type="character" w:customStyle="1" w:styleId="WW-Absatz-Standardschriftart11">
    <w:name w:val="WW-Absatz-Standardschriftart11"/>
    <w:rsid w:val="00692375"/>
  </w:style>
  <w:style w:type="character" w:customStyle="1" w:styleId="WW-Absatz-Standardschriftart111">
    <w:name w:val="WW-Absatz-Standardschriftart111"/>
    <w:rsid w:val="00692375"/>
  </w:style>
  <w:style w:type="character" w:customStyle="1" w:styleId="WW-Absatz-Standardschriftart1111">
    <w:name w:val="WW-Absatz-Standardschriftart1111"/>
    <w:rsid w:val="00692375"/>
  </w:style>
  <w:style w:type="character" w:customStyle="1" w:styleId="WW-Absatz-Standardschriftart11111">
    <w:name w:val="WW-Absatz-Standardschriftart11111"/>
    <w:rsid w:val="00692375"/>
  </w:style>
  <w:style w:type="character" w:customStyle="1" w:styleId="WW-Absatz-Standardschriftart111111">
    <w:name w:val="WW-Absatz-Standardschriftart111111"/>
    <w:rsid w:val="00692375"/>
  </w:style>
  <w:style w:type="character" w:customStyle="1" w:styleId="WW-Absatz-Standardschriftart1111111">
    <w:name w:val="WW-Absatz-Standardschriftart1111111"/>
    <w:rsid w:val="00692375"/>
  </w:style>
  <w:style w:type="character" w:customStyle="1" w:styleId="WW8Num1z4">
    <w:name w:val="WW8Num1z4"/>
    <w:rsid w:val="00692375"/>
    <w:rPr>
      <w:rFonts w:cs="Times New Roman"/>
    </w:rPr>
  </w:style>
  <w:style w:type="character" w:customStyle="1" w:styleId="WW-Absatz-Standardschriftart11111111">
    <w:name w:val="WW-Absatz-Standardschriftart11111111"/>
    <w:rsid w:val="00692375"/>
  </w:style>
  <w:style w:type="character" w:customStyle="1" w:styleId="WW8Num2z1">
    <w:name w:val="WW8Num2z1"/>
    <w:rsid w:val="00692375"/>
    <w:rPr>
      <w:rFonts w:cs="Times New Roman"/>
    </w:rPr>
  </w:style>
  <w:style w:type="character" w:customStyle="1" w:styleId="WW8Num3z1">
    <w:name w:val="WW8Num3z1"/>
    <w:rsid w:val="00692375"/>
    <w:rPr>
      <w:rFonts w:ascii="Courier New" w:hAnsi="Courier New" w:cs="Courier New"/>
    </w:rPr>
  </w:style>
  <w:style w:type="character" w:customStyle="1" w:styleId="WW8Num3z2">
    <w:name w:val="WW8Num3z2"/>
    <w:rsid w:val="00692375"/>
    <w:rPr>
      <w:rFonts w:ascii="Wingdings" w:hAnsi="Wingdings" w:cs="Wingdings"/>
    </w:rPr>
  </w:style>
  <w:style w:type="character" w:customStyle="1" w:styleId="WW8Num5z1">
    <w:name w:val="WW8Num5z1"/>
    <w:rsid w:val="00692375"/>
    <w:rPr>
      <w:rFonts w:ascii="Times New Roman" w:hAnsi="Times New Roman"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5z3">
    <w:name w:val="WW8Num5z3"/>
    <w:rsid w:val="00692375"/>
    <w:rPr>
      <w:rFonts w:ascii="Times New Roman" w:hAnsi="Times New Roman" w:cs="Times New Roman"/>
      <w:b w:val="0"/>
      <w:bCs w:val="0"/>
      <w:i/>
      <w:iCs/>
      <w:sz w:val="20"/>
      <w:szCs w:val="20"/>
    </w:rPr>
  </w:style>
  <w:style w:type="character" w:customStyle="1" w:styleId="WW8Num5z4">
    <w:name w:val="WW8Num5z4"/>
    <w:rsid w:val="00692375"/>
    <w:rPr>
      <w:rFonts w:cs="Times New Roman"/>
    </w:rPr>
  </w:style>
  <w:style w:type="character" w:customStyle="1" w:styleId="WW8Num7z1">
    <w:name w:val="WW8Num7z1"/>
    <w:rsid w:val="00692375"/>
    <w:rPr>
      <w:rFonts w:cs="Times New Roman"/>
    </w:rPr>
  </w:style>
  <w:style w:type="character" w:customStyle="1" w:styleId="WW8Num8z0">
    <w:name w:val="WW8Num8z0"/>
    <w:rsid w:val="00692375"/>
    <w:rPr>
      <w:rFonts w:ascii="Times New Roman" w:hAnsi="Times New Roman" w:cs="Times New Roman"/>
      <w:b w:val="0"/>
      <w:bCs w:val="0"/>
      <w:i w:val="0"/>
      <w:iCs w:val="0"/>
      <w:sz w:val="16"/>
      <w:szCs w:val="16"/>
    </w:rPr>
  </w:style>
  <w:style w:type="character" w:customStyle="1" w:styleId="WW-DefaultParagraphFont1">
    <w:name w:val="WW-Default Paragraph Font1"/>
    <w:rsid w:val="00692375"/>
  </w:style>
  <w:style w:type="paragraph" w:customStyle="1" w:styleId="Heading">
    <w:name w:val="Heading"/>
    <w:basedOn w:val="Normal"/>
    <w:next w:val="BodyText"/>
    <w:rsid w:val="00692375"/>
    <w:pPr>
      <w:keepNext/>
      <w:spacing w:before="240" w:after="120"/>
    </w:pPr>
    <w:rPr>
      <w:rFonts w:ascii="Arial" w:eastAsia="DejaVu Sans" w:hAnsi="Arial" w:cs="Lohit Hindi"/>
      <w:sz w:val="28"/>
      <w:szCs w:val="28"/>
    </w:rPr>
  </w:style>
  <w:style w:type="paragraph" w:styleId="BodyText">
    <w:name w:val="Body Text"/>
    <w:basedOn w:val="Normal"/>
    <w:rsid w:val="00692375"/>
    <w:pPr>
      <w:spacing w:after="6"/>
      <w:ind w:firstLine="288"/>
      <w:jc w:val="both"/>
    </w:pPr>
    <w:rPr>
      <w:spacing w:val="-1"/>
    </w:rPr>
  </w:style>
  <w:style w:type="paragraph" w:styleId="List">
    <w:name w:val="List"/>
    <w:basedOn w:val="BodyText"/>
    <w:rsid w:val="00692375"/>
    <w:rPr>
      <w:rFonts w:cs="Lohit Hindi"/>
    </w:rPr>
  </w:style>
  <w:style w:type="paragraph" w:styleId="Caption">
    <w:name w:val="caption"/>
    <w:basedOn w:val="Normal"/>
    <w:qFormat/>
    <w:rsid w:val="00692375"/>
    <w:pPr>
      <w:suppressLineNumbers/>
      <w:spacing w:before="120" w:after="120"/>
    </w:pPr>
    <w:rPr>
      <w:rFonts w:cs="Lohit Hindi"/>
      <w:i/>
      <w:iCs/>
      <w:sz w:val="24"/>
      <w:szCs w:val="24"/>
    </w:rPr>
  </w:style>
  <w:style w:type="paragraph" w:customStyle="1" w:styleId="Index">
    <w:name w:val="Index"/>
    <w:basedOn w:val="Normal"/>
    <w:rsid w:val="00692375"/>
    <w:pPr>
      <w:suppressLineNumbers/>
    </w:pPr>
    <w:rPr>
      <w:rFonts w:cs="Lohit Hindi"/>
    </w:rPr>
  </w:style>
  <w:style w:type="paragraph" w:customStyle="1" w:styleId="Abstract">
    <w:name w:val="Abstract"/>
    <w:rsid w:val="00692375"/>
    <w:pPr>
      <w:suppressAutoHyphens/>
      <w:spacing w:after="200"/>
      <w:ind w:firstLine="170"/>
      <w:jc w:val="both"/>
    </w:pPr>
    <w:rPr>
      <w:rFonts w:eastAsia="SimSun"/>
      <w:b/>
      <w:bCs/>
      <w:sz w:val="18"/>
      <w:szCs w:val="18"/>
      <w:lang w:eastAsia="zh-CN"/>
    </w:rPr>
  </w:style>
  <w:style w:type="paragraph" w:customStyle="1" w:styleId="Affiliation">
    <w:name w:val="Affiliation"/>
    <w:rsid w:val="00692375"/>
    <w:pPr>
      <w:suppressAutoHyphens/>
      <w:jc w:val="center"/>
    </w:pPr>
    <w:rPr>
      <w:rFonts w:eastAsia="SimSun"/>
      <w:lang w:eastAsia="zh-CN"/>
    </w:rPr>
  </w:style>
  <w:style w:type="paragraph" w:customStyle="1" w:styleId="Author">
    <w:name w:val="Author"/>
    <w:rsid w:val="00692375"/>
    <w:pPr>
      <w:suppressAutoHyphens/>
      <w:spacing w:before="360" w:after="40"/>
      <w:jc w:val="center"/>
    </w:pPr>
    <w:rPr>
      <w:rFonts w:eastAsia="SimSun"/>
      <w:sz w:val="22"/>
      <w:szCs w:val="22"/>
    </w:rPr>
  </w:style>
  <w:style w:type="paragraph" w:customStyle="1" w:styleId="bulletlist">
    <w:name w:val="bullet list"/>
    <w:basedOn w:val="BodyText"/>
    <w:rsid w:val="00692375"/>
    <w:pPr>
      <w:tabs>
        <w:tab w:val="left" w:pos="648"/>
      </w:tabs>
      <w:ind w:left="648" w:hanging="360"/>
    </w:pPr>
  </w:style>
  <w:style w:type="paragraph" w:customStyle="1" w:styleId="equation">
    <w:name w:val="equation"/>
    <w:basedOn w:val="Normal"/>
    <w:rsid w:val="00692375"/>
    <w:pPr>
      <w:tabs>
        <w:tab w:val="center" w:pos="2520"/>
        <w:tab w:val="right" w:pos="5040"/>
      </w:tabs>
      <w:spacing w:before="240" w:after="240" w:line="216" w:lineRule="auto"/>
    </w:pPr>
    <w:rPr>
      <w:rFonts w:ascii="Symbol" w:hAnsi="Symbol" w:cs="Symbol"/>
    </w:rPr>
  </w:style>
  <w:style w:type="paragraph" w:customStyle="1" w:styleId="figurecaption">
    <w:name w:val="figure caption"/>
    <w:rsid w:val="00692375"/>
    <w:pPr>
      <w:tabs>
        <w:tab w:val="num" w:pos="0"/>
      </w:tabs>
      <w:suppressAutoHyphens/>
      <w:spacing w:before="80" w:after="200"/>
      <w:ind w:left="360" w:hanging="360"/>
      <w:jc w:val="center"/>
    </w:pPr>
    <w:rPr>
      <w:rFonts w:eastAsia="SimSun"/>
      <w:sz w:val="16"/>
      <w:szCs w:val="16"/>
    </w:rPr>
  </w:style>
  <w:style w:type="paragraph" w:customStyle="1" w:styleId="footnote">
    <w:name w:val="footnote"/>
    <w:rsid w:val="00692375"/>
    <w:pPr>
      <w:tabs>
        <w:tab w:val="left" w:pos="648"/>
      </w:tabs>
      <w:suppressAutoHyphens/>
      <w:spacing w:after="40"/>
      <w:ind w:firstLine="288"/>
    </w:pPr>
    <w:rPr>
      <w:rFonts w:eastAsia="SimSun"/>
      <w:sz w:val="16"/>
      <w:szCs w:val="16"/>
      <w:lang w:eastAsia="zh-CN"/>
    </w:rPr>
  </w:style>
  <w:style w:type="paragraph" w:customStyle="1" w:styleId="keywords">
    <w:name w:val="key words"/>
    <w:rsid w:val="00692375"/>
    <w:pPr>
      <w:suppressAutoHyphens/>
      <w:spacing w:after="120"/>
      <w:ind w:firstLine="288"/>
      <w:jc w:val="both"/>
    </w:pPr>
    <w:rPr>
      <w:rFonts w:eastAsia="SimSun"/>
      <w:b/>
      <w:bCs/>
      <w:iCs/>
      <w:sz w:val="18"/>
      <w:szCs w:val="18"/>
    </w:rPr>
  </w:style>
  <w:style w:type="paragraph" w:customStyle="1" w:styleId="papersubtitle">
    <w:name w:val="paper subtitle"/>
    <w:rsid w:val="00692375"/>
    <w:pPr>
      <w:suppressAutoHyphens/>
      <w:spacing w:after="120"/>
      <w:jc w:val="center"/>
    </w:pPr>
    <w:rPr>
      <w:rFonts w:eastAsia="MS Mincho"/>
      <w:sz w:val="28"/>
      <w:szCs w:val="28"/>
    </w:rPr>
  </w:style>
  <w:style w:type="paragraph" w:customStyle="1" w:styleId="papertitle">
    <w:name w:val="paper title"/>
    <w:rsid w:val="00692375"/>
    <w:pPr>
      <w:suppressAutoHyphens/>
      <w:spacing w:after="120"/>
      <w:jc w:val="center"/>
    </w:pPr>
    <w:rPr>
      <w:rFonts w:eastAsia="MS Mincho"/>
      <w:sz w:val="48"/>
      <w:szCs w:val="48"/>
    </w:rPr>
  </w:style>
  <w:style w:type="paragraph" w:customStyle="1" w:styleId="references">
    <w:name w:val="references"/>
    <w:rsid w:val="00692375"/>
    <w:pPr>
      <w:tabs>
        <w:tab w:val="num" w:pos="360"/>
      </w:tabs>
      <w:suppressAutoHyphens/>
      <w:spacing w:after="50" w:line="180" w:lineRule="atLeast"/>
      <w:ind w:left="360" w:hanging="360"/>
      <w:jc w:val="both"/>
    </w:pPr>
    <w:rPr>
      <w:rFonts w:eastAsia="MS Mincho"/>
      <w:sz w:val="18"/>
      <w:szCs w:val="16"/>
    </w:rPr>
  </w:style>
  <w:style w:type="paragraph" w:customStyle="1" w:styleId="sponsors">
    <w:name w:val="sponsors"/>
    <w:rsid w:val="00692375"/>
    <w:pPr>
      <w:pBdr>
        <w:top w:val="single" w:sz="4" w:space="2" w:color="000000"/>
      </w:pBdr>
      <w:suppressAutoHyphens/>
      <w:ind w:firstLine="288"/>
    </w:pPr>
    <w:rPr>
      <w:rFonts w:eastAsia="SimSun"/>
      <w:sz w:val="16"/>
      <w:szCs w:val="16"/>
      <w:lang w:eastAsia="zh-CN"/>
    </w:rPr>
  </w:style>
  <w:style w:type="paragraph" w:customStyle="1" w:styleId="tablecolhead">
    <w:name w:val="table col head"/>
    <w:basedOn w:val="Normal"/>
    <w:rsid w:val="00692375"/>
    <w:rPr>
      <w:b/>
      <w:bCs/>
      <w:sz w:val="16"/>
      <w:szCs w:val="16"/>
    </w:rPr>
  </w:style>
  <w:style w:type="paragraph" w:customStyle="1" w:styleId="tablecolsubhead">
    <w:name w:val="table col subhead"/>
    <w:basedOn w:val="tablecolhead"/>
    <w:rsid w:val="00692375"/>
    <w:rPr>
      <w:i/>
      <w:iCs/>
      <w:sz w:val="15"/>
      <w:szCs w:val="15"/>
    </w:rPr>
  </w:style>
  <w:style w:type="paragraph" w:customStyle="1" w:styleId="tablecopy">
    <w:name w:val="table copy"/>
    <w:rsid w:val="00692375"/>
    <w:pPr>
      <w:suppressAutoHyphens/>
      <w:jc w:val="both"/>
    </w:pPr>
    <w:rPr>
      <w:rFonts w:eastAsia="SimSun"/>
      <w:sz w:val="16"/>
      <w:szCs w:val="16"/>
    </w:rPr>
  </w:style>
  <w:style w:type="paragraph" w:customStyle="1" w:styleId="tablefootnote">
    <w:name w:val="table footnote"/>
    <w:rsid w:val="00692375"/>
    <w:pPr>
      <w:suppressAutoHyphens/>
      <w:spacing w:before="60" w:after="30"/>
      <w:jc w:val="right"/>
    </w:pPr>
    <w:rPr>
      <w:rFonts w:eastAsia="SimSun"/>
      <w:sz w:val="12"/>
      <w:szCs w:val="12"/>
      <w:lang w:eastAsia="zh-CN"/>
    </w:rPr>
  </w:style>
  <w:style w:type="paragraph" w:customStyle="1" w:styleId="tablehead">
    <w:name w:val="table head"/>
    <w:rsid w:val="00692375"/>
    <w:pPr>
      <w:tabs>
        <w:tab w:val="num" w:pos="0"/>
        <w:tab w:val="left" w:pos="1080"/>
      </w:tabs>
      <w:suppressAutoHyphens/>
      <w:spacing w:before="240" w:after="120" w:line="216" w:lineRule="auto"/>
      <w:jc w:val="center"/>
    </w:pPr>
    <w:rPr>
      <w:rFonts w:eastAsia="SimSun"/>
      <w:smallCaps/>
      <w:sz w:val="16"/>
      <w:szCs w:val="16"/>
    </w:rPr>
  </w:style>
  <w:style w:type="paragraph" w:customStyle="1" w:styleId="Framecontents">
    <w:name w:val="Frame contents"/>
    <w:basedOn w:val="BodyText"/>
    <w:rsid w:val="00692375"/>
  </w:style>
  <w:style w:type="paragraph" w:customStyle="1" w:styleId="TableContents">
    <w:name w:val="Table Contents"/>
    <w:basedOn w:val="Normal"/>
    <w:rsid w:val="00692375"/>
    <w:pPr>
      <w:suppressLineNumbers/>
    </w:pPr>
  </w:style>
  <w:style w:type="paragraph" w:customStyle="1" w:styleId="TableHeading">
    <w:name w:val="Table Heading"/>
    <w:basedOn w:val="TableContents"/>
    <w:rsid w:val="00692375"/>
    <w:rPr>
      <w:b/>
      <w:bCs/>
    </w:rPr>
  </w:style>
  <w:style w:type="character" w:styleId="Hyperlink">
    <w:name w:val="Hyperlink"/>
    <w:basedOn w:val="DefaultParagraphFont"/>
    <w:uiPriority w:val="99"/>
    <w:unhideWhenUsed/>
    <w:rsid w:val="00F4168E"/>
    <w:rPr>
      <w:color w:val="0000FF" w:themeColor="hyperlink"/>
      <w:u w:val="single"/>
    </w:rPr>
  </w:style>
  <w:style w:type="paragraph" w:styleId="Header">
    <w:name w:val="header"/>
    <w:basedOn w:val="Normal"/>
    <w:link w:val="HeaderChar"/>
    <w:uiPriority w:val="99"/>
    <w:unhideWhenUsed/>
    <w:rsid w:val="003C5B4F"/>
    <w:pPr>
      <w:tabs>
        <w:tab w:val="center" w:pos="4680"/>
        <w:tab w:val="right" w:pos="9360"/>
      </w:tabs>
    </w:pPr>
  </w:style>
  <w:style w:type="character" w:customStyle="1" w:styleId="HeaderChar">
    <w:name w:val="Header Char"/>
    <w:basedOn w:val="DefaultParagraphFont"/>
    <w:link w:val="Header"/>
    <w:uiPriority w:val="99"/>
    <w:rsid w:val="003C5B4F"/>
    <w:rPr>
      <w:rFonts w:eastAsia="SimSun"/>
      <w:lang w:eastAsia="zh-CN"/>
    </w:rPr>
  </w:style>
  <w:style w:type="paragraph" w:styleId="Footer">
    <w:name w:val="footer"/>
    <w:basedOn w:val="Normal"/>
    <w:link w:val="FooterChar"/>
    <w:uiPriority w:val="99"/>
    <w:unhideWhenUsed/>
    <w:rsid w:val="003C5B4F"/>
    <w:pPr>
      <w:tabs>
        <w:tab w:val="center" w:pos="4680"/>
        <w:tab w:val="right" w:pos="9360"/>
      </w:tabs>
    </w:pPr>
  </w:style>
  <w:style w:type="character" w:customStyle="1" w:styleId="FooterChar">
    <w:name w:val="Footer Char"/>
    <w:basedOn w:val="DefaultParagraphFont"/>
    <w:link w:val="Footer"/>
    <w:uiPriority w:val="99"/>
    <w:rsid w:val="003C5B4F"/>
    <w:rPr>
      <w:rFonts w:eastAsia="SimSun"/>
      <w:lang w:eastAsia="zh-CN"/>
    </w:rPr>
  </w:style>
  <w:style w:type="character" w:customStyle="1" w:styleId="il">
    <w:name w:val="il"/>
    <w:basedOn w:val="DefaultParagraphFont"/>
    <w:rsid w:val="00A9368B"/>
  </w:style>
  <w:style w:type="paragraph" w:styleId="PlainText">
    <w:name w:val="Plain Text"/>
    <w:basedOn w:val="Normal"/>
    <w:link w:val="PlainTextChar"/>
    <w:uiPriority w:val="99"/>
    <w:unhideWhenUsed/>
    <w:rsid w:val="00C26B91"/>
    <w:pPr>
      <w:suppressAutoHyphens w:val="0"/>
      <w:jc w:val="left"/>
    </w:pPr>
    <w:rPr>
      <w:rFonts w:ascii="Consolas" w:eastAsia="Calibri" w:hAnsi="Consolas"/>
      <w:sz w:val="21"/>
      <w:szCs w:val="21"/>
      <w:lang w:val="en-GB" w:eastAsia="en-US"/>
    </w:rPr>
  </w:style>
  <w:style w:type="character" w:customStyle="1" w:styleId="PlainTextChar">
    <w:name w:val="Plain Text Char"/>
    <w:basedOn w:val="DefaultParagraphFont"/>
    <w:link w:val="PlainText"/>
    <w:uiPriority w:val="99"/>
    <w:rsid w:val="00C26B91"/>
    <w:rPr>
      <w:rFonts w:ascii="Consolas" w:eastAsia="Calibri" w:hAnsi="Consolas"/>
      <w:sz w:val="21"/>
      <w:szCs w:val="21"/>
      <w:lang w:val="en-GB"/>
    </w:rPr>
  </w:style>
  <w:style w:type="paragraph" w:styleId="ListParagraph">
    <w:name w:val="List Paragraph"/>
    <w:basedOn w:val="Normal"/>
    <w:uiPriority w:val="34"/>
    <w:qFormat/>
    <w:rsid w:val="00C26B91"/>
    <w:pPr>
      <w:suppressAutoHyphens w:val="0"/>
      <w:ind w:left="720"/>
      <w:contextualSpacing/>
      <w:jc w:val="left"/>
    </w:pPr>
    <w:rPr>
      <w:rFonts w:eastAsia="Times New Roman"/>
      <w:sz w:val="24"/>
      <w:szCs w:val="24"/>
      <w:lang w:val="en-GB" w:eastAsia="en-GB"/>
    </w:rPr>
  </w:style>
  <w:style w:type="paragraph" w:styleId="BalloonText">
    <w:name w:val="Balloon Text"/>
    <w:basedOn w:val="Normal"/>
    <w:link w:val="BalloonTextChar"/>
    <w:uiPriority w:val="99"/>
    <w:semiHidden/>
    <w:unhideWhenUsed/>
    <w:rsid w:val="00C26B91"/>
    <w:rPr>
      <w:rFonts w:ascii="Tahoma" w:hAnsi="Tahoma" w:cs="Tahoma"/>
      <w:sz w:val="16"/>
      <w:szCs w:val="16"/>
    </w:rPr>
  </w:style>
  <w:style w:type="character" w:customStyle="1" w:styleId="BalloonTextChar">
    <w:name w:val="Balloon Text Char"/>
    <w:basedOn w:val="DefaultParagraphFont"/>
    <w:link w:val="BalloonText"/>
    <w:uiPriority w:val="99"/>
    <w:semiHidden/>
    <w:rsid w:val="00C26B91"/>
    <w:rPr>
      <w:rFonts w:ascii="Tahoma" w:eastAsia="SimSun" w:hAnsi="Tahoma" w:cs="Tahoma"/>
      <w:sz w:val="16"/>
      <w:szCs w:val="16"/>
      <w:lang w:eastAsia="zh-CN"/>
    </w:rPr>
  </w:style>
  <w:style w:type="character" w:styleId="FollowedHyperlink">
    <w:name w:val="FollowedHyperlink"/>
    <w:basedOn w:val="DefaultParagraphFont"/>
    <w:uiPriority w:val="99"/>
    <w:semiHidden/>
    <w:unhideWhenUsed/>
    <w:rsid w:val="00DE48D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7327443">
      <w:bodyDiv w:val="1"/>
      <w:marLeft w:val="0"/>
      <w:marRight w:val="0"/>
      <w:marTop w:val="0"/>
      <w:marBottom w:val="0"/>
      <w:divBdr>
        <w:top w:val="none" w:sz="0" w:space="0" w:color="auto"/>
        <w:left w:val="none" w:sz="0" w:space="0" w:color="auto"/>
        <w:bottom w:val="none" w:sz="0" w:space="0" w:color="auto"/>
        <w:right w:val="none" w:sz="0" w:space="0" w:color="auto"/>
      </w:divBdr>
    </w:div>
    <w:div w:id="1347098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E8F349-9CA8-4472-B75D-F181235D67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5</Pages>
  <Words>3260</Words>
  <Characters>18588</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JAAFR Journal</vt:lpstr>
    </vt:vector>
  </TitlesOfParts>
  <Company>www.jaafr.org</Company>
  <LinksUpToDate>false</LinksUpToDate>
  <CharactersWithSpaces>21805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JAAFR Journal</dc:title>
  <dc:subject>JAAFR Journal</dc:subject>
  <dc:creator>JAAFR Journal</dc:creator>
  <cp:keywords>JAAFR Journal</cp:keywords>
  <dc:description>JAAFR Journal</dc:description>
  <cp:lastModifiedBy>User</cp:lastModifiedBy>
  <cp:revision>2</cp:revision>
  <cp:lastPrinted>1900-12-31T18:30:00Z</cp:lastPrinted>
  <dcterms:created xsi:type="dcterms:W3CDTF">2026-06-03T07:37:00Z</dcterms:created>
  <dcterms:modified xsi:type="dcterms:W3CDTF">2026-06-03T07:37:00Z</dcterms:modified>
  <cp:category>JAAFR Journal</cp:category>
  <cp:contentStatus>JAAFR Journal</cp:contentStatus>
</cp:coreProperties>
</file>